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28" w:rsidRDefault="006C7628" w:rsidP="006C7628">
      <w:pPr>
        <w:widowControl w:val="0"/>
        <w:autoSpaceDE w:val="0"/>
        <w:autoSpaceDN w:val="0"/>
        <w:adjustRightInd w:val="0"/>
      </w:pPr>
      <w:bookmarkStart w:id="0" w:name="_GoBack"/>
      <w:bookmarkEnd w:id="0"/>
    </w:p>
    <w:p w:rsidR="006C7628" w:rsidRDefault="006C7628" w:rsidP="006C7628">
      <w:pPr>
        <w:widowControl w:val="0"/>
        <w:autoSpaceDE w:val="0"/>
        <w:autoSpaceDN w:val="0"/>
        <w:adjustRightInd w:val="0"/>
      </w:pPr>
      <w:r>
        <w:rPr>
          <w:b/>
          <w:bCs/>
        </w:rPr>
        <w:t>Section 3000.420  Conference Lodging</w:t>
      </w:r>
      <w:r>
        <w:t xml:space="preserve"> </w:t>
      </w:r>
    </w:p>
    <w:p w:rsidR="006C7628" w:rsidRDefault="006C7628" w:rsidP="006C7628">
      <w:pPr>
        <w:widowControl w:val="0"/>
        <w:autoSpaceDE w:val="0"/>
        <w:autoSpaceDN w:val="0"/>
        <w:adjustRightInd w:val="0"/>
      </w:pPr>
    </w:p>
    <w:p w:rsidR="006C7628" w:rsidRDefault="006C7628" w:rsidP="006C7628">
      <w:pPr>
        <w:widowControl w:val="0"/>
        <w:autoSpaceDE w:val="0"/>
        <w:autoSpaceDN w:val="0"/>
        <w:adjustRightInd w:val="0"/>
      </w:pPr>
      <w:r>
        <w:t xml:space="preserve">Conference lodging charges or lodging at official meeting hotels when pre-approved by the Agency Head in excess of the maximums allowed in Appendix A, Reimbursement Schedule are considered exceptions to this Part.  Policies regarding conference lodging may be established by the Travel Control Boards for their respective jurisdictions. </w:t>
      </w:r>
    </w:p>
    <w:sectPr w:rsidR="006C7628" w:rsidSect="006C76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628"/>
    <w:rsid w:val="000B2BEB"/>
    <w:rsid w:val="005C3366"/>
    <w:rsid w:val="006C7628"/>
    <w:rsid w:val="00F2119B"/>
    <w:rsid w:val="00FD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