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78" w:rsidRDefault="006E6878" w:rsidP="006E6878">
      <w:pPr>
        <w:widowControl w:val="0"/>
        <w:autoSpaceDE w:val="0"/>
        <w:autoSpaceDN w:val="0"/>
        <w:adjustRightInd w:val="0"/>
      </w:pPr>
      <w:bookmarkStart w:id="0" w:name="_GoBack"/>
      <w:bookmarkEnd w:id="0"/>
    </w:p>
    <w:p w:rsidR="006E6878" w:rsidRDefault="006E6878" w:rsidP="006E6878">
      <w:pPr>
        <w:widowControl w:val="0"/>
        <w:autoSpaceDE w:val="0"/>
        <w:autoSpaceDN w:val="0"/>
        <w:adjustRightInd w:val="0"/>
      </w:pPr>
      <w:r>
        <w:rPr>
          <w:b/>
          <w:bCs/>
        </w:rPr>
        <w:t>Section 1650.710  Amendments</w:t>
      </w:r>
      <w:r>
        <w:t xml:space="preserve"> </w:t>
      </w:r>
    </w:p>
    <w:p w:rsidR="006E6878" w:rsidRDefault="006E6878" w:rsidP="006E6878">
      <w:pPr>
        <w:widowControl w:val="0"/>
        <w:autoSpaceDE w:val="0"/>
        <w:autoSpaceDN w:val="0"/>
        <w:adjustRightInd w:val="0"/>
      </w:pPr>
    </w:p>
    <w:p w:rsidR="006E6878" w:rsidRDefault="006E6878" w:rsidP="006E6878">
      <w:pPr>
        <w:widowControl w:val="0"/>
        <w:autoSpaceDE w:val="0"/>
        <w:autoSpaceDN w:val="0"/>
        <w:adjustRightInd w:val="0"/>
      </w:pPr>
      <w:r>
        <w:t xml:space="preserve">The Bylaws and Rules may be altered or amended by a majority vote of all members of the Board of Trustees provided such alterations or amendments shall not be inconsistent with all provisions of the law, and provided further that notice of any proposed alteration or amendment shall be given each member of the Board of Trustees by the Director at least ten days prior to the regular or special meeting at which the amendment is to be considered. </w:t>
      </w:r>
    </w:p>
    <w:sectPr w:rsidR="006E6878" w:rsidSect="006E68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878"/>
    <w:rsid w:val="005C3366"/>
    <w:rsid w:val="00697675"/>
    <w:rsid w:val="006E6878"/>
    <w:rsid w:val="00775048"/>
    <w:rsid w:val="00C3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