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A4" w:rsidRDefault="00763CA4" w:rsidP="00763CA4">
      <w:pPr>
        <w:widowControl w:val="0"/>
        <w:autoSpaceDE w:val="0"/>
        <w:autoSpaceDN w:val="0"/>
        <w:adjustRightInd w:val="0"/>
      </w:pPr>
      <w:bookmarkStart w:id="0" w:name="_GoBack"/>
      <w:bookmarkEnd w:id="0"/>
    </w:p>
    <w:p w:rsidR="00763CA4" w:rsidRDefault="00763CA4" w:rsidP="00763CA4">
      <w:pPr>
        <w:widowControl w:val="0"/>
        <w:autoSpaceDE w:val="0"/>
        <w:autoSpaceDN w:val="0"/>
        <w:adjustRightInd w:val="0"/>
      </w:pPr>
      <w:r>
        <w:rPr>
          <w:b/>
          <w:bCs/>
        </w:rPr>
        <w:t>Section 100.80  Geographical Transfers</w:t>
      </w:r>
      <w:r>
        <w:t xml:space="preserve"> </w:t>
      </w:r>
    </w:p>
    <w:p w:rsidR="00763CA4" w:rsidRDefault="00763CA4" w:rsidP="00763CA4">
      <w:pPr>
        <w:widowControl w:val="0"/>
        <w:autoSpaceDE w:val="0"/>
        <w:autoSpaceDN w:val="0"/>
        <w:adjustRightInd w:val="0"/>
      </w:pPr>
    </w:p>
    <w:p w:rsidR="00763CA4" w:rsidRDefault="00763CA4" w:rsidP="00763CA4">
      <w:pPr>
        <w:widowControl w:val="0"/>
        <w:autoSpaceDE w:val="0"/>
        <w:autoSpaceDN w:val="0"/>
        <w:adjustRightInd w:val="0"/>
        <w:ind w:left="1440" w:hanging="720"/>
      </w:pPr>
      <w:r>
        <w:t>a)</w:t>
      </w:r>
      <w:r>
        <w:tab/>
        <w:t xml:space="preserve">In appeals to the Commission from permanent transfers from one geographical area in the State to another, the employee shall have the burden of introducing sufficient, competent and credible evidence showing that the transfer was unreasonable, unjust, capricious or not a bona fide attempt to serve the best interest of the Office of the Comptroller. </w:t>
      </w:r>
    </w:p>
    <w:p w:rsidR="00A142C0" w:rsidRDefault="00A142C0" w:rsidP="00763CA4">
      <w:pPr>
        <w:widowControl w:val="0"/>
        <w:autoSpaceDE w:val="0"/>
        <w:autoSpaceDN w:val="0"/>
        <w:adjustRightInd w:val="0"/>
        <w:ind w:left="1440" w:hanging="720"/>
      </w:pPr>
    </w:p>
    <w:p w:rsidR="00763CA4" w:rsidRDefault="00763CA4" w:rsidP="00763CA4">
      <w:pPr>
        <w:widowControl w:val="0"/>
        <w:autoSpaceDE w:val="0"/>
        <w:autoSpaceDN w:val="0"/>
        <w:adjustRightInd w:val="0"/>
        <w:ind w:left="1440" w:hanging="720"/>
      </w:pPr>
      <w:r>
        <w:t>b)</w:t>
      </w:r>
      <w:r>
        <w:tab/>
        <w:t xml:space="preserve">Under normal circumstances, a temporary transfer of an employee for a period in excess of 30 days will be considered a permanent transfer, enabling the employee to then appeal the transfer without regard to Section 100.60(a). </w:t>
      </w:r>
    </w:p>
    <w:p w:rsidR="00A142C0" w:rsidRDefault="00A142C0" w:rsidP="00763CA4">
      <w:pPr>
        <w:widowControl w:val="0"/>
        <w:autoSpaceDE w:val="0"/>
        <w:autoSpaceDN w:val="0"/>
        <w:adjustRightInd w:val="0"/>
        <w:ind w:left="1440" w:hanging="720"/>
      </w:pPr>
    </w:p>
    <w:p w:rsidR="00763CA4" w:rsidRDefault="00763CA4" w:rsidP="00763CA4">
      <w:pPr>
        <w:widowControl w:val="0"/>
        <w:autoSpaceDE w:val="0"/>
        <w:autoSpaceDN w:val="0"/>
        <w:adjustRightInd w:val="0"/>
        <w:ind w:left="1440" w:hanging="720"/>
      </w:pPr>
      <w:r>
        <w:t>c)</w:t>
      </w:r>
      <w:r>
        <w:tab/>
        <w:t xml:space="preserve">Unless inconsistent with this Section, the procedures governing Section 100.70 shall apply to geographical transfer hearings. </w:t>
      </w:r>
    </w:p>
    <w:p w:rsidR="00763CA4" w:rsidRDefault="00763CA4" w:rsidP="00763CA4">
      <w:pPr>
        <w:widowControl w:val="0"/>
        <w:autoSpaceDE w:val="0"/>
        <w:autoSpaceDN w:val="0"/>
        <w:adjustRightInd w:val="0"/>
        <w:ind w:left="1440" w:hanging="720"/>
      </w:pPr>
    </w:p>
    <w:p w:rsidR="00763CA4" w:rsidRDefault="00763CA4" w:rsidP="00763CA4">
      <w:pPr>
        <w:widowControl w:val="0"/>
        <w:autoSpaceDE w:val="0"/>
        <w:autoSpaceDN w:val="0"/>
        <w:adjustRightInd w:val="0"/>
        <w:ind w:left="1440" w:hanging="720"/>
      </w:pPr>
      <w:r>
        <w:t xml:space="preserve">(Source:  Amended at 19 Ill. Reg. 206, effective January 3, 1995) </w:t>
      </w:r>
    </w:p>
    <w:sectPr w:rsidR="00763CA4" w:rsidSect="00763C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CA4"/>
    <w:rsid w:val="00321A50"/>
    <w:rsid w:val="005C3366"/>
    <w:rsid w:val="00763CA4"/>
    <w:rsid w:val="00A142C0"/>
    <w:rsid w:val="00DF4DC2"/>
    <w:rsid w:val="00E0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