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B6" w:rsidRDefault="00DA4CB6" w:rsidP="00DA4C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XV:  DEPARTMENT OF </w:t>
      </w:r>
      <w:r w:rsidR="00872CB5">
        <w:t xml:space="preserve">FINANCIAL AND </w:t>
      </w:r>
      <w:r>
        <w:t>PROFESSIONAL REGULATION</w:t>
      </w:r>
    </w:p>
    <w:sectPr w:rsidR="00DA4CB6" w:rsidSect="00DA4C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CB6"/>
    <w:rsid w:val="00266B73"/>
    <w:rsid w:val="005C3366"/>
    <w:rsid w:val="006932DD"/>
    <w:rsid w:val="007E7F16"/>
    <w:rsid w:val="00872CB5"/>
    <w:rsid w:val="00BF3ADE"/>
    <w:rsid w:val="00D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76F44E-F8EE-4A13-8D4A-205200AF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XV:  DEPARTMENT OF PROFESSIONAL REGULATION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XV:  DEPARTMENT OF PROFESSIONAL REGULATION</dc:title>
  <dc:subject/>
  <dc:creator>Illinois General Assembly</dc:creator>
  <cp:keywords/>
  <dc:description/>
  <cp:lastModifiedBy>Bockewitz, Crystal K.</cp:lastModifiedBy>
  <cp:revision>2</cp:revision>
  <dcterms:created xsi:type="dcterms:W3CDTF">2015-02-24T22:45:00Z</dcterms:created>
  <dcterms:modified xsi:type="dcterms:W3CDTF">2015-02-24T22:45:00Z</dcterms:modified>
</cp:coreProperties>
</file>