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D3" w:rsidRDefault="00145ED3" w:rsidP="00145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ED3" w:rsidRDefault="00145ED3" w:rsidP="00145ED3">
      <w:pPr>
        <w:widowControl w:val="0"/>
        <w:autoSpaceDE w:val="0"/>
        <w:autoSpaceDN w:val="0"/>
        <w:adjustRightInd w:val="0"/>
      </w:pPr>
      <w:r>
        <w:t xml:space="preserve">SOURCE:  Adopted at 12 Ill. Reg. 4707, effective February 22, 1988; amended at 14 Ill. Reg. 10337, effective June 18, 1990; amended at 17 Ill. Reg. 8817, effective June 10, 1993. </w:t>
      </w:r>
    </w:p>
    <w:sectPr w:rsidR="00145ED3" w:rsidSect="00145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ED3"/>
    <w:rsid w:val="00145ED3"/>
    <w:rsid w:val="001F6F89"/>
    <w:rsid w:val="00394418"/>
    <w:rsid w:val="003E2D3E"/>
    <w:rsid w:val="005C3366"/>
    <w:rsid w:val="00A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