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9B" w:rsidRDefault="00D5099B" w:rsidP="00D50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99B" w:rsidRDefault="00D5099B" w:rsidP="00D50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2200.150  Finance</w:t>
      </w:r>
      <w:r>
        <w:t xml:space="preserve"> </w:t>
      </w:r>
    </w:p>
    <w:p w:rsidR="00D5099B" w:rsidRDefault="00D5099B" w:rsidP="00D5099B">
      <w:pPr>
        <w:widowControl w:val="0"/>
        <w:autoSpaceDE w:val="0"/>
        <w:autoSpaceDN w:val="0"/>
        <w:adjustRightInd w:val="0"/>
      </w:pPr>
    </w:p>
    <w:p w:rsidR="00D5099B" w:rsidRDefault="00D5099B" w:rsidP="00D5099B">
      <w:pPr>
        <w:widowControl w:val="0"/>
        <w:autoSpaceDE w:val="0"/>
        <w:autoSpaceDN w:val="0"/>
        <w:adjustRightInd w:val="0"/>
      </w:pPr>
      <w:r>
        <w:t xml:space="preserve">The Center must operate under the budgetary requirements approved by the Department. </w:t>
      </w:r>
    </w:p>
    <w:p w:rsidR="00485809" w:rsidRDefault="00485809" w:rsidP="00D5099B">
      <w:pPr>
        <w:widowControl w:val="0"/>
        <w:autoSpaceDE w:val="0"/>
        <w:autoSpaceDN w:val="0"/>
        <w:adjustRightInd w:val="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Center will maintain and adhere to all contracts for services with internal and external organizations and outside vendors.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Management systems will be in place to maintain data reporting requirements and to enhance tracking of important student information.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Billing procedures will conform to agreements established by contract with individual health plans, the Medicaid Program, health providers and the Department. </w:t>
      </w:r>
    </w:p>
    <w:p w:rsidR="00485809" w:rsidRDefault="00485809" w:rsidP="00D5099B">
      <w:pPr>
        <w:widowControl w:val="0"/>
        <w:autoSpaceDE w:val="0"/>
        <w:autoSpaceDN w:val="0"/>
        <w:adjustRightInd w:val="0"/>
        <w:ind w:left="1440" w:hanging="720"/>
      </w:pPr>
    </w:p>
    <w:p w:rsidR="00D5099B" w:rsidRDefault="00D5099B" w:rsidP="00D509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Policies and procedures identifying mechanisms for data collection, data reporting, billing and payment between the Center and its contracted entities will be available. </w:t>
      </w:r>
    </w:p>
    <w:sectPr w:rsidR="00D5099B" w:rsidSect="00D50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99B"/>
    <w:rsid w:val="00485809"/>
    <w:rsid w:val="005C3366"/>
    <w:rsid w:val="00A76AEB"/>
    <w:rsid w:val="00B908D2"/>
    <w:rsid w:val="00D5099B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