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1FFD" w14:textId="77777777" w:rsidR="00482B61" w:rsidRPr="00482B61" w:rsidRDefault="00482B61" w:rsidP="00482B61">
      <w:pPr>
        <w:contextualSpacing/>
        <w:rPr>
          <w:bCs/>
        </w:rPr>
      </w:pPr>
    </w:p>
    <w:p w14:paraId="5AB0F19E" w14:textId="77777777" w:rsidR="00482B61" w:rsidRPr="00AE6C27" w:rsidRDefault="00482B61" w:rsidP="00482B61">
      <w:pPr>
        <w:contextualSpacing/>
        <w:rPr>
          <w:b/>
        </w:rPr>
      </w:pPr>
      <w:r w:rsidRPr="00AE6C27">
        <w:rPr>
          <w:b/>
        </w:rPr>
        <w:t>Section 2080.245</w:t>
      </w:r>
      <w:r w:rsidRPr="00AE6C27">
        <w:t xml:space="preserve">  </w:t>
      </w:r>
      <w:r w:rsidRPr="00AE6C27">
        <w:rPr>
          <w:b/>
        </w:rPr>
        <w:t>Advanced Practice Registered Nurse with Full Practice Authority</w:t>
      </w:r>
    </w:p>
    <w:p w14:paraId="513229E4" w14:textId="77777777" w:rsidR="00482B61" w:rsidRPr="00482B61" w:rsidRDefault="00482B61" w:rsidP="00482B61">
      <w:pPr>
        <w:contextualSpacing/>
        <w:rPr>
          <w:bCs/>
        </w:rPr>
      </w:pPr>
    </w:p>
    <w:p w14:paraId="0C7DF476" w14:textId="3AF175A1" w:rsidR="00482B61" w:rsidRPr="00AE6C27" w:rsidRDefault="00482B61" w:rsidP="00482B61">
      <w:pPr>
        <w:ind w:left="1440" w:hanging="720"/>
        <w:contextualSpacing/>
      </w:pPr>
      <w:r w:rsidRPr="00AE6C27">
        <w:rPr>
          <w:bCs/>
        </w:rPr>
        <w:t>a)</w:t>
      </w:r>
      <w:r>
        <w:rPr>
          <w:bCs/>
        </w:rPr>
        <w:tab/>
      </w:r>
      <w:r w:rsidRPr="00AE6C27">
        <w:rPr>
          <w:bCs/>
        </w:rPr>
        <w:t xml:space="preserve">An </w:t>
      </w:r>
      <w:r w:rsidR="00AA76C0">
        <w:rPr>
          <w:bCs/>
        </w:rPr>
        <w:t>a</w:t>
      </w:r>
      <w:r w:rsidRPr="00AE6C27">
        <w:rPr>
          <w:bCs/>
        </w:rPr>
        <w:t xml:space="preserve">dvanced </w:t>
      </w:r>
      <w:r w:rsidR="00AA76C0">
        <w:rPr>
          <w:bCs/>
        </w:rPr>
        <w:t>p</w:t>
      </w:r>
      <w:r w:rsidRPr="00AE6C27">
        <w:rPr>
          <w:bCs/>
        </w:rPr>
        <w:t xml:space="preserve">ractice </w:t>
      </w:r>
      <w:r w:rsidR="00AA76C0">
        <w:rPr>
          <w:bCs/>
        </w:rPr>
        <w:t>r</w:t>
      </w:r>
      <w:r w:rsidRPr="00AE6C27">
        <w:rPr>
          <w:bCs/>
        </w:rPr>
        <w:t xml:space="preserve">egistered </w:t>
      </w:r>
      <w:r w:rsidR="00AA76C0">
        <w:rPr>
          <w:bCs/>
        </w:rPr>
        <w:t>n</w:t>
      </w:r>
      <w:r w:rsidRPr="00AE6C27">
        <w:rPr>
          <w:bCs/>
        </w:rPr>
        <w:t>urse granted Full Practice Authority under 225 ILCS 65/65-43 who prescribes Schedule II narcotic drugs, such as opioids, shall establish</w:t>
      </w:r>
      <w:r w:rsidRPr="00AE6C27">
        <w:t xml:space="preserve"> a consulting relationship with a physician and shall record that relationship in </w:t>
      </w:r>
      <w:r>
        <w:t>the ILPMP website (</w:t>
      </w:r>
      <w:r w:rsidRPr="003F508B">
        <w:t>www.ilpmp.org</w:t>
      </w:r>
      <w:r>
        <w:t>).</w:t>
      </w:r>
      <w:r w:rsidRPr="00AE6C27">
        <w:t xml:space="preserve">  The </w:t>
      </w:r>
      <w:r w:rsidR="00AA76C0">
        <w:t>a</w:t>
      </w:r>
      <w:r w:rsidRPr="00AE6C27">
        <w:rPr>
          <w:bCs/>
        </w:rPr>
        <w:t xml:space="preserve">dvanced </w:t>
      </w:r>
      <w:r w:rsidR="00AA76C0">
        <w:rPr>
          <w:bCs/>
        </w:rPr>
        <w:t>p</w:t>
      </w:r>
      <w:r w:rsidRPr="00AE6C27">
        <w:rPr>
          <w:bCs/>
        </w:rPr>
        <w:t xml:space="preserve">ractice </w:t>
      </w:r>
      <w:r w:rsidR="00AA76C0">
        <w:rPr>
          <w:bCs/>
        </w:rPr>
        <w:t>r</w:t>
      </w:r>
      <w:r w:rsidRPr="00AE6C27">
        <w:rPr>
          <w:bCs/>
        </w:rPr>
        <w:t xml:space="preserve">egistered </w:t>
      </w:r>
      <w:r w:rsidR="00AA76C0">
        <w:rPr>
          <w:bCs/>
        </w:rPr>
        <w:t>n</w:t>
      </w:r>
      <w:r w:rsidRPr="00AE6C27">
        <w:rPr>
          <w:bCs/>
        </w:rPr>
        <w:t>urse</w:t>
      </w:r>
      <w:r w:rsidRPr="00AE6C27">
        <w:t xml:space="preserve"> </w:t>
      </w:r>
      <w:r w:rsidR="00AA76C0">
        <w:t>and the physi</w:t>
      </w:r>
      <w:r w:rsidR="00CB5CCF">
        <w:t>ci</w:t>
      </w:r>
      <w:r w:rsidR="00AA76C0">
        <w:t xml:space="preserve">an are both </w:t>
      </w:r>
      <w:r w:rsidRPr="00AE6C27">
        <w:t>responsible for entering in the ILPMP the name, DEA number, and license number of the consulting physician.</w:t>
      </w:r>
    </w:p>
    <w:p w14:paraId="5718042B" w14:textId="77777777" w:rsidR="00482B61" w:rsidRPr="00AE6C27" w:rsidRDefault="00482B61" w:rsidP="001668FA">
      <w:pPr>
        <w:contextualSpacing/>
      </w:pPr>
    </w:p>
    <w:p w14:paraId="4F64D364" w14:textId="5C37674C" w:rsidR="00482B61" w:rsidRPr="00AE6C27" w:rsidRDefault="00482B61" w:rsidP="00482B61">
      <w:pPr>
        <w:ind w:left="720"/>
        <w:contextualSpacing/>
      </w:pPr>
      <w:r w:rsidRPr="00AE6C27">
        <w:t>b)</w:t>
      </w:r>
      <w:r>
        <w:tab/>
      </w:r>
      <w:r w:rsidRPr="00AE6C27">
        <w:t>Information necessary for the ILPMP form:</w:t>
      </w:r>
    </w:p>
    <w:p w14:paraId="6A0E8123" w14:textId="77777777" w:rsidR="00482B61" w:rsidRPr="00AE6C27" w:rsidRDefault="00482B61" w:rsidP="001668FA">
      <w:pPr>
        <w:contextualSpacing/>
      </w:pPr>
    </w:p>
    <w:p w14:paraId="497D0570" w14:textId="363F9606" w:rsidR="00482B61" w:rsidRPr="00AE6C27" w:rsidRDefault="00482B61" w:rsidP="00482B61">
      <w:pPr>
        <w:ind w:left="1440"/>
        <w:contextualSpacing/>
      </w:pPr>
      <w:r w:rsidRPr="00AE6C27">
        <w:t>1)</w:t>
      </w:r>
      <w:r>
        <w:tab/>
      </w:r>
      <w:r w:rsidRPr="00AE6C27">
        <w:t>Name (First, MI, Last);</w:t>
      </w:r>
    </w:p>
    <w:p w14:paraId="5C467ED7" w14:textId="77777777" w:rsidR="00482B61" w:rsidRPr="00AE6C27" w:rsidRDefault="00482B61" w:rsidP="001668FA">
      <w:pPr>
        <w:contextualSpacing/>
      </w:pPr>
    </w:p>
    <w:p w14:paraId="177CE030" w14:textId="6C8D7F1E" w:rsidR="00482B61" w:rsidRPr="00AE6C27" w:rsidRDefault="00482B61" w:rsidP="00482B61">
      <w:pPr>
        <w:ind w:left="1440"/>
        <w:contextualSpacing/>
      </w:pPr>
      <w:r w:rsidRPr="00AE6C27">
        <w:t>2)</w:t>
      </w:r>
      <w:r>
        <w:tab/>
      </w:r>
      <w:r w:rsidRPr="00AE6C27">
        <w:t>DEA number;</w:t>
      </w:r>
    </w:p>
    <w:p w14:paraId="2CB1625D" w14:textId="77777777" w:rsidR="00482B61" w:rsidRPr="00AE6C27" w:rsidRDefault="00482B61" w:rsidP="001668FA">
      <w:pPr>
        <w:contextualSpacing/>
      </w:pPr>
    </w:p>
    <w:p w14:paraId="2C1743DB" w14:textId="5737D5B1" w:rsidR="00482B61" w:rsidRPr="00AE6C27" w:rsidRDefault="00482B61" w:rsidP="00482B61">
      <w:pPr>
        <w:ind w:left="1440"/>
        <w:contextualSpacing/>
      </w:pPr>
      <w:r w:rsidRPr="00AE6C27">
        <w:t>3)</w:t>
      </w:r>
      <w:r>
        <w:tab/>
      </w:r>
      <w:r w:rsidRPr="00AE6C27">
        <w:t>Profession</w:t>
      </w:r>
      <w:r w:rsidR="001E7655">
        <w:t xml:space="preserve"> of the advanced practice registered nurse</w:t>
      </w:r>
      <w:r w:rsidRPr="00AE6C27">
        <w:t>; and</w:t>
      </w:r>
    </w:p>
    <w:p w14:paraId="1392F9A2" w14:textId="77777777" w:rsidR="00482B61" w:rsidRPr="00AE6C27" w:rsidRDefault="00482B61" w:rsidP="001668FA">
      <w:pPr>
        <w:contextualSpacing/>
      </w:pPr>
    </w:p>
    <w:p w14:paraId="087F83DD" w14:textId="5B917415" w:rsidR="00482B61" w:rsidRPr="00AE6C27" w:rsidRDefault="00482B61" w:rsidP="00482B61">
      <w:pPr>
        <w:ind w:left="1440"/>
        <w:contextualSpacing/>
      </w:pPr>
      <w:r w:rsidRPr="00AE6C27">
        <w:t>4)</w:t>
      </w:r>
      <w:r>
        <w:tab/>
      </w:r>
      <w:r w:rsidRPr="00AE6C27">
        <w:t>Professional license numbers.</w:t>
      </w:r>
    </w:p>
    <w:p w14:paraId="1EF257C1" w14:textId="77777777" w:rsidR="00482B61" w:rsidRPr="00AE6C27" w:rsidRDefault="00482B61" w:rsidP="001668FA">
      <w:pPr>
        <w:contextualSpacing/>
      </w:pPr>
    </w:p>
    <w:p w14:paraId="521D4FDE" w14:textId="2EEC5841" w:rsidR="00482B61" w:rsidRPr="00AE6C27" w:rsidRDefault="00482B61" w:rsidP="00482B61">
      <w:pPr>
        <w:ind w:left="1440" w:hanging="720"/>
        <w:contextualSpacing/>
      </w:pPr>
      <w:r>
        <w:t>c</w:t>
      </w:r>
      <w:r w:rsidRPr="00AE6C27">
        <w:t>)</w:t>
      </w:r>
      <w:r>
        <w:tab/>
      </w:r>
      <w:r w:rsidRPr="00AE6C27">
        <w:t>For Schedule II Narcotics (opioids) only, the consulting physician</w:t>
      </w:r>
      <w:r w:rsidR="001E7655">
        <w:t xml:space="preserve"> must provide</w:t>
      </w:r>
      <w:r w:rsidRPr="00AE6C27">
        <w:t>:</w:t>
      </w:r>
    </w:p>
    <w:p w14:paraId="498DDFCC" w14:textId="77777777" w:rsidR="00482B61" w:rsidRPr="00AE6C27" w:rsidRDefault="00482B61" w:rsidP="001668FA">
      <w:pPr>
        <w:contextualSpacing/>
      </w:pPr>
    </w:p>
    <w:p w14:paraId="62CF8161" w14:textId="5A0B83FC" w:rsidR="00482B61" w:rsidRPr="00AE6C27" w:rsidRDefault="00482B61" w:rsidP="00482B61">
      <w:pPr>
        <w:ind w:left="2160" w:hanging="720"/>
        <w:contextualSpacing/>
      </w:pPr>
      <w:r w:rsidRPr="00AE6C27">
        <w:t>1)</w:t>
      </w:r>
      <w:r>
        <w:tab/>
      </w:r>
      <w:r w:rsidRPr="00AE6C27">
        <w:t>Name (first, MI, last);</w:t>
      </w:r>
    </w:p>
    <w:p w14:paraId="4DA35222" w14:textId="77777777" w:rsidR="00482B61" w:rsidRPr="00AE6C27" w:rsidRDefault="00482B61" w:rsidP="001668FA">
      <w:pPr>
        <w:contextualSpacing/>
      </w:pPr>
    </w:p>
    <w:p w14:paraId="0D92D1C6" w14:textId="714DF776" w:rsidR="00482B61" w:rsidRPr="00AE6C27" w:rsidRDefault="00482B61" w:rsidP="00482B61">
      <w:pPr>
        <w:ind w:left="2160" w:hanging="720"/>
        <w:contextualSpacing/>
      </w:pPr>
      <w:r w:rsidRPr="00AE6C27">
        <w:t>2)</w:t>
      </w:r>
      <w:r>
        <w:tab/>
      </w:r>
      <w:r w:rsidRPr="00AE6C27">
        <w:t>DEA number;</w:t>
      </w:r>
    </w:p>
    <w:p w14:paraId="5486503A" w14:textId="77777777" w:rsidR="00482B61" w:rsidRPr="00AE6C27" w:rsidRDefault="00482B61" w:rsidP="001668FA">
      <w:pPr>
        <w:contextualSpacing/>
      </w:pPr>
    </w:p>
    <w:p w14:paraId="3FC09CDC" w14:textId="3818C648" w:rsidR="00482B61" w:rsidRPr="00AE6C27" w:rsidRDefault="00482B61" w:rsidP="00482B61">
      <w:pPr>
        <w:ind w:left="2160" w:hanging="720"/>
        <w:contextualSpacing/>
      </w:pPr>
      <w:r w:rsidRPr="00AE6C27">
        <w:t>3)</w:t>
      </w:r>
      <w:r>
        <w:tab/>
      </w:r>
      <w:r w:rsidRPr="00AE6C27">
        <w:t>Profession;</w:t>
      </w:r>
    </w:p>
    <w:p w14:paraId="5B4E6AF4" w14:textId="77777777" w:rsidR="00482B61" w:rsidRPr="00AE6C27" w:rsidRDefault="00482B61" w:rsidP="001668FA">
      <w:pPr>
        <w:contextualSpacing/>
      </w:pPr>
    </w:p>
    <w:p w14:paraId="6A69F3F8" w14:textId="012AFEE8" w:rsidR="00482B61" w:rsidRPr="00AE6C27" w:rsidRDefault="00482B61" w:rsidP="00482B61">
      <w:pPr>
        <w:ind w:left="2160" w:hanging="720"/>
        <w:contextualSpacing/>
      </w:pPr>
      <w:r w:rsidRPr="00AE6C27">
        <w:t>4)</w:t>
      </w:r>
      <w:r>
        <w:tab/>
      </w:r>
      <w:r w:rsidRPr="00AE6C27">
        <w:t>Practitioner</w:t>
      </w:r>
      <w:r w:rsidR="001668FA">
        <w:t>'</w:t>
      </w:r>
      <w:r w:rsidRPr="00AE6C27">
        <w:t>s professional license numbers</w:t>
      </w:r>
      <w:r w:rsidR="00CB5CCF">
        <w:t>; and</w:t>
      </w:r>
    </w:p>
    <w:p w14:paraId="7DC16F6B" w14:textId="77777777" w:rsidR="00482B61" w:rsidRPr="00AE6C27" w:rsidRDefault="00482B61" w:rsidP="001668FA">
      <w:pPr>
        <w:contextualSpacing/>
      </w:pPr>
    </w:p>
    <w:p w14:paraId="00DC6585" w14:textId="392EA1E8" w:rsidR="00482B61" w:rsidRPr="00482B61" w:rsidRDefault="001E7655" w:rsidP="001E7655">
      <w:pPr>
        <w:ind w:left="1440"/>
        <w:contextualSpacing/>
        <w:rPr>
          <w:bCs/>
        </w:rPr>
      </w:pPr>
      <w:r>
        <w:t>5</w:t>
      </w:r>
      <w:r w:rsidR="00482B61" w:rsidRPr="00AE6C27">
        <w:t>)</w:t>
      </w:r>
      <w:r w:rsidR="00482B61">
        <w:tab/>
      </w:r>
      <w:r w:rsidR="00482B61" w:rsidRPr="00AE6C27">
        <w:t>List of specific Schedule II narcotic drugs by name.</w:t>
      </w:r>
    </w:p>
    <w:p w14:paraId="4E6AB7C1" w14:textId="417F8A0E" w:rsidR="000174EB" w:rsidRDefault="000174EB" w:rsidP="00093935"/>
    <w:p w14:paraId="54E00B55" w14:textId="548D2222" w:rsidR="00482B61" w:rsidRPr="00093935" w:rsidRDefault="00482B61" w:rsidP="00482B61">
      <w:pPr>
        <w:ind w:firstLine="720"/>
      </w:pPr>
      <w:r>
        <w:t>(Source:  Added at 4</w:t>
      </w:r>
      <w:r w:rsidR="00A547F6">
        <w:t>7</w:t>
      </w:r>
      <w:r>
        <w:t xml:space="preserve"> Ill. Reg. </w:t>
      </w:r>
      <w:r w:rsidR="00C578AF">
        <w:t>13500</w:t>
      </w:r>
      <w:r>
        <w:t xml:space="preserve">, effective </w:t>
      </w:r>
      <w:r w:rsidR="00C578AF">
        <w:t>September 8, 2023</w:t>
      </w:r>
      <w:r>
        <w:t>)</w:t>
      </w:r>
    </w:p>
    <w:sectPr w:rsidR="00482B6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45D1" w14:textId="77777777" w:rsidR="00A65A27" w:rsidRDefault="00A65A27">
      <w:r>
        <w:separator/>
      </w:r>
    </w:p>
  </w:endnote>
  <w:endnote w:type="continuationSeparator" w:id="0">
    <w:p w14:paraId="24BA425D" w14:textId="77777777" w:rsidR="00A65A27" w:rsidRDefault="00A6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5195" w14:textId="77777777" w:rsidR="00A65A27" w:rsidRDefault="00A65A27">
      <w:r>
        <w:separator/>
      </w:r>
    </w:p>
  </w:footnote>
  <w:footnote w:type="continuationSeparator" w:id="0">
    <w:p w14:paraId="52EF842E" w14:textId="77777777" w:rsidR="00A65A27" w:rsidRDefault="00A6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8FA"/>
    <w:rsid w:val="00174FFD"/>
    <w:rsid w:val="001830D0"/>
    <w:rsid w:val="00184B52"/>
    <w:rsid w:val="0019117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65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08B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B61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BC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7F6"/>
    <w:rsid w:val="00A56934"/>
    <w:rsid w:val="00A600AA"/>
    <w:rsid w:val="00A623FE"/>
    <w:rsid w:val="00A65A2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6C0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8A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CC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4BA47"/>
  <w15:chartTrackingRefBased/>
  <w15:docId w15:val="{67BBE7F5-C17C-4197-BA22-894C5926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B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482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2023-08-29T16:59:00Z</dcterms:created>
  <dcterms:modified xsi:type="dcterms:W3CDTF">2023-09-22T17:48:00Z</dcterms:modified>
</cp:coreProperties>
</file>