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BE" w:rsidRDefault="004002BE" w:rsidP="004002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2BE" w:rsidRDefault="004002BE" w:rsidP="004002BE">
      <w:pPr>
        <w:widowControl w:val="0"/>
        <w:autoSpaceDE w:val="0"/>
        <w:autoSpaceDN w:val="0"/>
        <w:adjustRightInd w:val="0"/>
      </w:pPr>
      <w:r>
        <w:t xml:space="preserve">SOURCE:  Adopted at 2 Ill. Reg. 8, p. 1, effective February 14, 1978; transferred July 1, 1984 to the Department of Alcoholism and Substance Abuse by the Alcoholism and Substance Abuse Act; codified at 8 Ill. Reg. 19339; recodified from Department of Alcoholism and Substance Abuse to Department of Human </w:t>
      </w:r>
      <w:r w:rsidR="00D763C3">
        <w:t xml:space="preserve">Services at 21 Ill. Reg. 9319. </w:t>
      </w:r>
    </w:p>
    <w:sectPr w:rsidR="004002BE" w:rsidSect="00400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2BE"/>
    <w:rsid w:val="001675BC"/>
    <w:rsid w:val="0027029C"/>
    <w:rsid w:val="003042AF"/>
    <w:rsid w:val="004002BE"/>
    <w:rsid w:val="005C3366"/>
    <w:rsid w:val="00D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