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76" w:rsidRDefault="00F87976" w:rsidP="00F879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7976" w:rsidRDefault="00F87976" w:rsidP="00F879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2070.910  Schedule II</w:t>
      </w:r>
      <w:r w:rsidR="00BC1698">
        <w:rPr>
          <w:b/>
          <w:bCs/>
        </w:rPr>
        <w:t xml:space="preserve"> − </w:t>
      </w:r>
      <w:r>
        <w:rPr>
          <w:b/>
          <w:bCs/>
        </w:rPr>
        <w:t>Enumeration</w:t>
      </w:r>
      <w:r>
        <w:t xml:space="preserve"> </w:t>
      </w:r>
    </w:p>
    <w:p w:rsidR="00F87976" w:rsidRDefault="00F87976" w:rsidP="00F87976">
      <w:pPr>
        <w:widowControl w:val="0"/>
        <w:autoSpaceDE w:val="0"/>
        <w:autoSpaceDN w:val="0"/>
        <w:adjustRightInd w:val="0"/>
      </w:pPr>
    </w:p>
    <w:p w:rsidR="00F87976" w:rsidRDefault="00F87976" w:rsidP="00F87976">
      <w:pPr>
        <w:widowControl w:val="0"/>
        <w:autoSpaceDE w:val="0"/>
        <w:autoSpaceDN w:val="0"/>
        <w:adjustRightInd w:val="0"/>
      </w:pPr>
      <w:r>
        <w:t xml:space="preserve">The controlled substances listed in these Sections 2070.915 to 2070.1510 are included in Schedule II. </w:t>
      </w:r>
    </w:p>
    <w:sectPr w:rsidR="00F87976" w:rsidSect="00F879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976"/>
    <w:rsid w:val="00180238"/>
    <w:rsid w:val="004E28D3"/>
    <w:rsid w:val="005C3366"/>
    <w:rsid w:val="00BC1698"/>
    <w:rsid w:val="00D978A5"/>
    <w:rsid w:val="00F8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