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EB" w:rsidRDefault="008B42EB" w:rsidP="008B42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42EB" w:rsidRDefault="008B42EB" w:rsidP="008B42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2070.825  Chathinone</w:t>
      </w:r>
      <w:r>
        <w:t xml:space="preserve"> </w:t>
      </w:r>
    </w:p>
    <w:p w:rsidR="008B42EB" w:rsidRDefault="008B42EB" w:rsidP="008B42EB">
      <w:pPr>
        <w:widowControl w:val="0"/>
        <w:autoSpaceDE w:val="0"/>
        <w:autoSpaceDN w:val="0"/>
        <w:adjustRightInd w:val="0"/>
      </w:pPr>
    </w:p>
    <w:p w:rsidR="008B42EB" w:rsidRDefault="008B42EB" w:rsidP="008B42EB">
      <w:pPr>
        <w:widowControl w:val="0"/>
        <w:autoSpaceDE w:val="0"/>
        <w:autoSpaceDN w:val="0"/>
        <w:adjustRightInd w:val="0"/>
      </w:pPr>
      <w:r>
        <w:t xml:space="preserve">Chathinone (some trade or other names:  2-aminopropiophenone; alpha- </w:t>
      </w:r>
    </w:p>
    <w:p w:rsidR="008B42EB" w:rsidRDefault="008B42EB" w:rsidP="008B42EB">
      <w:pPr>
        <w:widowControl w:val="0"/>
        <w:autoSpaceDE w:val="0"/>
        <w:autoSpaceDN w:val="0"/>
        <w:adjustRightInd w:val="0"/>
      </w:pPr>
      <w:r>
        <w:t xml:space="preserve">aminopropiophenone; 2-amino-1-phenyl-propane; norephedrone) </w:t>
      </w:r>
    </w:p>
    <w:p w:rsidR="008B42EB" w:rsidRDefault="008B42EB" w:rsidP="008B42EB">
      <w:pPr>
        <w:widowControl w:val="0"/>
        <w:autoSpaceDE w:val="0"/>
        <w:autoSpaceDN w:val="0"/>
        <w:adjustRightInd w:val="0"/>
      </w:pPr>
    </w:p>
    <w:p w:rsidR="008B42EB" w:rsidRDefault="008B42EB" w:rsidP="008B42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8B42EB" w:rsidSect="008B42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2EB"/>
    <w:rsid w:val="005438AB"/>
    <w:rsid w:val="005C3366"/>
    <w:rsid w:val="007015AF"/>
    <w:rsid w:val="00874A8D"/>
    <w:rsid w:val="008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