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CD" w:rsidRDefault="00985ACD" w:rsidP="00985A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ACD" w:rsidRDefault="00985ACD" w:rsidP="00985A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2070.695  4-bromo-2,5-dimethoxyamphetamine</w:t>
      </w:r>
      <w:r>
        <w:t xml:space="preserve"> </w:t>
      </w:r>
    </w:p>
    <w:p w:rsidR="00985ACD" w:rsidRDefault="00985ACD" w:rsidP="00985ACD">
      <w:pPr>
        <w:widowControl w:val="0"/>
        <w:autoSpaceDE w:val="0"/>
        <w:autoSpaceDN w:val="0"/>
        <w:adjustRightInd w:val="0"/>
      </w:pPr>
    </w:p>
    <w:p w:rsidR="00985ACD" w:rsidRDefault="00985ACD" w:rsidP="00985ACD">
      <w:pPr>
        <w:widowControl w:val="0"/>
        <w:autoSpaceDE w:val="0"/>
        <w:autoSpaceDN w:val="0"/>
        <w:adjustRightInd w:val="0"/>
      </w:pPr>
      <w:r>
        <w:t xml:space="preserve">4-bromo-2,5-dimethoxyamphetamine (4-bromo-2,5-dimethoxy-alpha-methylphenethylamine; 4-bromo-2,5-DMA) </w:t>
      </w:r>
    </w:p>
    <w:p w:rsidR="00985ACD" w:rsidRDefault="00985ACD" w:rsidP="00985ACD">
      <w:pPr>
        <w:widowControl w:val="0"/>
        <w:autoSpaceDE w:val="0"/>
        <w:autoSpaceDN w:val="0"/>
        <w:adjustRightInd w:val="0"/>
      </w:pPr>
    </w:p>
    <w:p w:rsidR="00985ACD" w:rsidRDefault="00985ACD" w:rsidP="00985A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3081, effective February 2, 1996) </w:t>
      </w:r>
    </w:p>
    <w:sectPr w:rsidR="00985ACD" w:rsidSect="00985A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ACD"/>
    <w:rsid w:val="005C3366"/>
    <w:rsid w:val="00601C03"/>
    <w:rsid w:val="00985ACD"/>
    <w:rsid w:val="00BE5A18"/>
    <w:rsid w:val="00D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