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B71" w:rsidRDefault="00563B71" w:rsidP="00563B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3B71" w:rsidRDefault="00563B71" w:rsidP="00563B7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2070.148  PEPAP 1-(2-phenylethyl)-4-phenyl-4-acetyloxypiperidine</w:t>
      </w:r>
      <w:r>
        <w:t xml:space="preserve"> </w:t>
      </w:r>
    </w:p>
    <w:p w:rsidR="00563B71" w:rsidRDefault="00563B71" w:rsidP="00563B71">
      <w:pPr>
        <w:widowControl w:val="0"/>
        <w:autoSpaceDE w:val="0"/>
        <w:autoSpaceDN w:val="0"/>
        <w:adjustRightInd w:val="0"/>
      </w:pPr>
    </w:p>
    <w:p w:rsidR="00563B71" w:rsidRDefault="00563B71" w:rsidP="00563B71">
      <w:pPr>
        <w:widowControl w:val="0"/>
        <w:autoSpaceDE w:val="0"/>
        <w:autoSpaceDN w:val="0"/>
        <w:adjustRightInd w:val="0"/>
      </w:pPr>
      <w:r>
        <w:t xml:space="preserve">PEPAP 1-(2-phenethyl)-4-phenyl-4-acetoxypiperidine) </w:t>
      </w:r>
    </w:p>
    <w:p w:rsidR="00563B71" w:rsidRDefault="00563B71" w:rsidP="00563B71">
      <w:pPr>
        <w:widowControl w:val="0"/>
        <w:autoSpaceDE w:val="0"/>
        <w:autoSpaceDN w:val="0"/>
        <w:adjustRightInd w:val="0"/>
      </w:pPr>
    </w:p>
    <w:p w:rsidR="00563B71" w:rsidRDefault="00563B71" w:rsidP="00563B7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 3081, effective February 2, 1996) </w:t>
      </w:r>
    </w:p>
    <w:sectPr w:rsidR="00563B71" w:rsidSect="00563B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3B71"/>
    <w:rsid w:val="004A6847"/>
    <w:rsid w:val="00563B71"/>
    <w:rsid w:val="005C3366"/>
    <w:rsid w:val="00BC7F5B"/>
    <w:rsid w:val="00DA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2012-06-22T02:23:00Z</dcterms:created>
  <dcterms:modified xsi:type="dcterms:W3CDTF">2012-06-22T02:23:00Z</dcterms:modified>
</cp:coreProperties>
</file>