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39" w:rsidRDefault="00E10339" w:rsidP="00E103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339" w:rsidRDefault="00E10339" w:rsidP="00E103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2070.122  Acetyl-alpha-methylfentanyl</w:t>
      </w:r>
      <w:r>
        <w:t xml:space="preserve"> </w:t>
      </w:r>
    </w:p>
    <w:p w:rsidR="00E10339" w:rsidRDefault="00E10339" w:rsidP="00E10339">
      <w:pPr>
        <w:widowControl w:val="0"/>
        <w:autoSpaceDE w:val="0"/>
        <w:autoSpaceDN w:val="0"/>
        <w:adjustRightInd w:val="0"/>
      </w:pPr>
    </w:p>
    <w:p w:rsidR="00E10339" w:rsidRDefault="00E10339" w:rsidP="00E10339">
      <w:pPr>
        <w:widowControl w:val="0"/>
        <w:autoSpaceDE w:val="0"/>
        <w:autoSpaceDN w:val="0"/>
        <w:adjustRightInd w:val="0"/>
      </w:pPr>
      <w:r>
        <w:t xml:space="preserve">Acetyl-alpha-methylfentanyl (N-[1-(1-methyl-2-phenethyl)-4-piperidinyl]-N- </w:t>
      </w:r>
    </w:p>
    <w:p w:rsidR="00E10339" w:rsidRDefault="00E10339" w:rsidP="00E10339">
      <w:pPr>
        <w:widowControl w:val="0"/>
        <w:autoSpaceDE w:val="0"/>
        <w:autoSpaceDN w:val="0"/>
        <w:adjustRightInd w:val="0"/>
      </w:pPr>
      <w:r>
        <w:t xml:space="preserve">phenylacetamide </w:t>
      </w:r>
    </w:p>
    <w:p w:rsidR="00E10339" w:rsidRDefault="00E10339" w:rsidP="00E10339">
      <w:pPr>
        <w:widowControl w:val="0"/>
        <w:autoSpaceDE w:val="0"/>
        <w:autoSpaceDN w:val="0"/>
        <w:adjustRightInd w:val="0"/>
      </w:pPr>
    </w:p>
    <w:p w:rsidR="00E10339" w:rsidRDefault="00E10339" w:rsidP="00E103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 3081, effective February 2, 1996) </w:t>
      </w:r>
    </w:p>
    <w:sectPr w:rsidR="00E10339" w:rsidSect="00E10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339"/>
    <w:rsid w:val="0040085F"/>
    <w:rsid w:val="005C3366"/>
    <w:rsid w:val="00951435"/>
    <w:rsid w:val="00E10339"/>
    <w:rsid w:val="00E5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