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D" w:rsidRDefault="00670D2D" w:rsidP="00670D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D2D" w:rsidRDefault="00670D2D" w:rsidP="00670D2D">
      <w:pPr>
        <w:widowControl w:val="0"/>
        <w:autoSpaceDE w:val="0"/>
        <w:autoSpaceDN w:val="0"/>
        <w:adjustRightInd w:val="0"/>
      </w:pPr>
      <w:r>
        <w:t xml:space="preserve">AUTHORITY:  Implementing and authorized by Section 100 of the Illinois Controlled Substances Act [720 ILCS 570/100]. </w:t>
      </w:r>
    </w:p>
    <w:sectPr w:rsidR="00670D2D" w:rsidSect="00670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D2D"/>
    <w:rsid w:val="001100CA"/>
    <w:rsid w:val="00320299"/>
    <w:rsid w:val="005C3366"/>
    <w:rsid w:val="00650753"/>
    <w:rsid w:val="006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100 of the Illinois Controlled Substances Act [720 ILCS 570/100]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100 of the Illinois Controlled Substances Act [720 ILCS 570/100]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