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FD" w:rsidRDefault="003023FD" w:rsidP="00302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3FD" w:rsidRDefault="003023FD" w:rsidP="003023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2060.501  General Requirements</w:t>
      </w:r>
      <w:r>
        <w:t xml:space="preserve"> </w:t>
      </w:r>
    </w:p>
    <w:p w:rsidR="003023FD" w:rsidRDefault="003023FD" w:rsidP="003023FD">
      <w:pPr>
        <w:widowControl w:val="0"/>
        <w:autoSpaceDE w:val="0"/>
        <w:autoSpaceDN w:val="0"/>
        <w:adjustRightInd w:val="0"/>
      </w:pPr>
    </w:p>
    <w:p w:rsidR="003023FD" w:rsidRDefault="003023FD" w:rsidP="003023FD">
      <w:pPr>
        <w:widowControl w:val="0"/>
        <w:autoSpaceDE w:val="0"/>
        <w:autoSpaceDN w:val="0"/>
        <w:adjustRightInd w:val="0"/>
      </w:pPr>
      <w:r>
        <w:t xml:space="preserve">In addition to the provisions specified in this Subpart, all DUI evaluation, DUI risk education and designated program services shall meet all applicable provisions specified in Subparts A, B, and C of this Part. Recovery Homes shall meet all applicable provisions specified in Subparts A and B, as well as all provisions specified in Section 2060.509 of this Part. </w:t>
      </w:r>
    </w:p>
    <w:p w:rsidR="003023FD" w:rsidRDefault="003023FD" w:rsidP="003023FD">
      <w:pPr>
        <w:widowControl w:val="0"/>
        <w:autoSpaceDE w:val="0"/>
        <w:autoSpaceDN w:val="0"/>
        <w:adjustRightInd w:val="0"/>
      </w:pPr>
    </w:p>
    <w:p w:rsidR="003023FD" w:rsidRDefault="003023FD" w:rsidP="003023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11063, effective August 14, 2001) </w:t>
      </w:r>
    </w:p>
    <w:sectPr w:rsidR="003023FD" w:rsidSect="00302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3FD"/>
    <w:rsid w:val="003023FD"/>
    <w:rsid w:val="0054719C"/>
    <w:rsid w:val="005C3366"/>
    <w:rsid w:val="00615FA7"/>
    <w:rsid w:val="00B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