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D8" w:rsidRDefault="003A0BD8" w:rsidP="003A0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BD8" w:rsidRDefault="003A0BD8" w:rsidP="003A0BD8">
      <w:pPr>
        <w:widowControl w:val="0"/>
        <w:autoSpaceDE w:val="0"/>
        <w:autoSpaceDN w:val="0"/>
        <w:adjustRightInd w:val="0"/>
      </w:pPr>
      <w:r>
        <w:t xml:space="preserve">SOURCE:  Adopted at 9 Ill. Reg. 4850, effective March 28, 1985; recodified at 20 Ill. Reg. 2602, effective January 26, 1996. </w:t>
      </w:r>
    </w:p>
    <w:sectPr w:rsidR="003A0BD8" w:rsidSect="003A0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BD8"/>
    <w:rsid w:val="003A0BD8"/>
    <w:rsid w:val="004A1B6F"/>
    <w:rsid w:val="005C3366"/>
    <w:rsid w:val="00683EFA"/>
    <w:rsid w:val="008D12E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