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01" w:rsidRDefault="00F42201" w:rsidP="00F422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2201" w:rsidRDefault="00F42201" w:rsidP="00F42201">
      <w:pPr>
        <w:widowControl w:val="0"/>
        <w:autoSpaceDE w:val="0"/>
        <w:autoSpaceDN w:val="0"/>
        <w:adjustRightInd w:val="0"/>
        <w:jc w:val="center"/>
      </w:pPr>
      <w:r>
        <w:t>SUBPART W:  CRITERIA AND STANDARDS--CHRONIC MENTAL ILLNESS (M.I.)</w:t>
      </w:r>
    </w:p>
    <w:sectPr w:rsidR="00F42201" w:rsidSect="00F422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201"/>
    <w:rsid w:val="004941FC"/>
    <w:rsid w:val="005C3366"/>
    <w:rsid w:val="009471B1"/>
    <w:rsid w:val="00D113D9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CRITERIA AND STANDARDS--CHRONIC MENTAL ILLNESS (M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CRITERIA AND STANDARDS--CHRONIC MENTAL ILLNESS (M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