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DC" w:rsidRDefault="001A0ADC" w:rsidP="001A0A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ADC" w:rsidRDefault="001A0ADC" w:rsidP="001A0A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1250.2140  Cost Effectiveness</w:t>
      </w:r>
      <w:r>
        <w:t xml:space="preserve"> </w:t>
      </w:r>
    </w:p>
    <w:p w:rsidR="001A0ADC" w:rsidRDefault="001A0ADC" w:rsidP="001A0ADC">
      <w:pPr>
        <w:widowControl w:val="0"/>
        <w:autoSpaceDE w:val="0"/>
        <w:autoSpaceDN w:val="0"/>
        <w:adjustRightInd w:val="0"/>
      </w:pPr>
    </w:p>
    <w:p w:rsidR="001A0ADC" w:rsidRDefault="00CF1446" w:rsidP="001A0ADC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1A0ADC">
        <w:t>)</w:t>
      </w:r>
      <w:r w:rsidR="001A0ADC">
        <w:tab/>
        <w:t xml:space="preserve">Criteria #1:  Provision of the service should represent a cost efficient use of physical plant and equipment.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Provision of the service should be at least at minimum utilization level as specified in criteria and standards established for need.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Experienced utilization.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A reasonable and consistent relationship should exist between costs and charges.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Facilities offering the service shall provide full written documentation on direct and indirect costs of providing the service as computed in accordance with generally accepted accounting principles, and shall demonstrate a reasonable and consistent relationship between costs of providing the service and the charges for the service.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216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information.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216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Schedule of Charges.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Criteria #3:  Are less costly delivery alternatives available?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Standard #1:  Outpatient Physical Rehabilitation services should be offered by all facilities which provide comprehensive physical rehabilitation services.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144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Data Factors: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216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Outpatient utilization volume. </w:t>
      </w:r>
    </w:p>
    <w:p w:rsidR="00CF1446" w:rsidRDefault="00CF1446" w:rsidP="001A0ADC">
      <w:pPr>
        <w:widowControl w:val="0"/>
        <w:autoSpaceDE w:val="0"/>
        <w:autoSpaceDN w:val="0"/>
        <w:adjustRightInd w:val="0"/>
        <w:ind w:left="216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Outpatient operating days and hours. </w:t>
      </w:r>
    </w:p>
    <w:p w:rsidR="001A0ADC" w:rsidRDefault="001A0ADC" w:rsidP="001A0ADC">
      <w:pPr>
        <w:widowControl w:val="0"/>
        <w:autoSpaceDE w:val="0"/>
        <w:autoSpaceDN w:val="0"/>
        <w:adjustRightInd w:val="0"/>
        <w:ind w:left="2160" w:hanging="720"/>
      </w:pPr>
    </w:p>
    <w:p w:rsidR="001A0ADC" w:rsidRDefault="001A0ADC" w:rsidP="001A0A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1A0ADC" w:rsidSect="001A0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ADC"/>
    <w:rsid w:val="001A0ADC"/>
    <w:rsid w:val="001A2D45"/>
    <w:rsid w:val="005C3366"/>
    <w:rsid w:val="00A10904"/>
    <w:rsid w:val="00CF1446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