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AC" w:rsidRDefault="004275AC" w:rsidP="004275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75AC" w:rsidRDefault="004275AC" w:rsidP="004275AC">
      <w:pPr>
        <w:widowControl w:val="0"/>
        <w:autoSpaceDE w:val="0"/>
        <w:autoSpaceDN w:val="0"/>
        <w:adjustRightInd w:val="0"/>
        <w:jc w:val="center"/>
      </w:pPr>
      <w:r>
        <w:t>SUBPART C:  FINANCIAL FEASIBILITY REVIEW CRITERIA</w:t>
      </w:r>
    </w:p>
    <w:sectPr w:rsidR="004275AC" w:rsidSect="004275A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5AC"/>
    <w:rsid w:val="00076854"/>
    <w:rsid w:val="00295D10"/>
    <w:rsid w:val="004275AC"/>
    <w:rsid w:val="005A720E"/>
    <w:rsid w:val="0097711B"/>
    <w:rsid w:val="009E1AA4"/>
    <w:rsid w:val="00C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FINANCIAL FEASIBILITY REVIEW CRITERIA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FINANCIAL FEASIBILITY REVIEW CRITERIA</dc:title>
  <dc:subject/>
  <dc:creator>ThomasVD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