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CC" w:rsidRDefault="00F543CC" w:rsidP="00F543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3CC" w:rsidRDefault="00F543CC" w:rsidP="00F543CC">
      <w:pPr>
        <w:widowControl w:val="0"/>
        <w:autoSpaceDE w:val="0"/>
        <w:autoSpaceDN w:val="0"/>
        <w:adjustRightInd w:val="0"/>
        <w:jc w:val="center"/>
      </w:pPr>
      <w:r>
        <w:t xml:space="preserve">SUBPART W:  CATEGORY OF SERVICE REVIEW CRITERIA – </w:t>
      </w:r>
    </w:p>
    <w:p w:rsidR="00F543CC" w:rsidRDefault="00F543CC" w:rsidP="00F543CC">
      <w:pPr>
        <w:widowControl w:val="0"/>
        <w:autoSpaceDE w:val="0"/>
        <w:autoSpaceDN w:val="0"/>
        <w:adjustRightInd w:val="0"/>
        <w:jc w:val="center"/>
      </w:pPr>
      <w:r>
        <w:t>EXTRACORPOREAL SHOCK WAVE LITHOTRIPSY</w:t>
      </w:r>
    </w:p>
    <w:sectPr w:rsidR="00F543CC" w:rsidSect="00F543C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3CC"/>
    <w:rsid w:val="007345FE"/>
    <w:rsid w:val="00B51A31"/>
    <w:rsid w:val="00D00440"/>
    <w:rsid w:val="00D73359"/>
    <w:rsid w:val="00F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CATEGORY OF SERVICE REVIEW CRITERIA – 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