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2" w:rsidRDefault="00252EB2" w:rsidP="00252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EB2" w:rsidRDefault="00252EB2" w:rsidP="00252E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960.90  Monitoring Criteria</w:t>
      </w:r>
      <w:r>
        <w:t xml:space="preserve"> </w:t>
      </w:r>
    </w:p>
    <w:p w:rsidR="00252EB2" w:rsidRDefault="00252EB2" w:rsidP="00252EB2">
      <w:pPr>
        <w:widowControl w:val="0"/>
        <w:autoSpaceDE w:val="0"/>
        <w:autoSpaceDN w:val="0"/>
        <w:adjustRightInd w:val="0"/>
      </w:pPr>
    </w:p>
    <w:p w:rsidR="00252EB2" w:rsidRDefault="00252EB2" w:rsidP="00252EB2">
      <w:pPr>
        <w:widowControl w:val="0"/>
        <w:autoSpaceDE w:val="0"/>
        <w:autoSpaceDN w:val="0"/>
        <w:adjustRightInd w:val="0"/>
      </w:pPr>
      <w:r>
        <w:t xml:space="preserve">Successful grant recipients will be required to submit reports at three months into the grant agreement period, with the submission of a continuation application, and at the end of the grant agreement period. </w:t>
      </w:r>
    </w:p>
    <w:sectPr w:rsidR="00252EB2" w:rsidSect="00252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EB2"/>
    <w:rsid w:val="00252EB2"/>
    <w:rsid w:val="00413A68"/>
    <w:rsid w:val="00554370"/>
    <w:rsid w:val="005C3366"/>
    <w:rsid w:val="006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960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