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6C" w:rsidRDefault="002D336C" w:rsidP="002D33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336C" w:rsidRDefault="002D336C" w:rsidP="002D336C">
      <w:pPr>
        <w:widowControl w:val="0"/>
        <w:autoSpaceDE w:val="0"/>
        <w:autoSpaceDN w:val="0"/>
        <w:adjustRightInd w:val="0"/>
      </w:pPr>
      <w:r>
        <w:t xml:space="preserve">SOURCE:  Emergency rule adopted and codified at 6 Ill. Reg. 10213, effective August 11, 1982, for a maximum of 150 days; adopted at 7 Ill. Reg. 684, effective January 4, 1983; Part repealed, new Part adopted at 18 Ill. Reg. 16855, effective November 10, 1994. </w:t>
      </w:r>
      <w:r>
        <w:tab/>
      </w:r>
    </w:p>
    <w:sectPr w:rsidR="002D336C" w:rsidSect="002D33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36C"/>
    <w:rsid w:val="002D336C"/>
    <w:rsid w:val="005C3366"/>
    <w:rsid w:val="008213E7"/>
    <w:rsid w:val="00D04C9F"/>
    <w:rsid w:val="00E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and codified at 6 Ill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and codified at 6 Ill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