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4E" w:rsidRDefault="00FF704E" w:rsidP="00102A52">
      <w:pPr>
        <w:rPr>
          <w:b/>
          <w:bCs/>
        </w:rPr>
      </w:pPr>
    </w:p>
    <w:p w:rsidR="00102A52" w:rsidRDefault="00102A52" w:rsidP="00102A52">
      <w:r>
        <w:rPr>
          <w:b/>
          <w:bCs/>
        </w:rPr>
        <w:t>Section 905.APPENDIX A   Illustrations and Exhibits</w:t>
      </w:r>
    </w:p>
    <w:p w:rsidR="00102A52" w:rsidRPr="008B692C" w:rsidRDefault="00102A52" w:rsidP="00102A52"/>
    <w:p w:rsidR="00AF33C4" w:rsidRDefault="00AF33C4" w:rsidP="00AF33C4">
      <w:r>
        <w:rPr>
          <w:b/>
          <w:bCs/>
        </w:rPr>
        <w:t xml:space="preserve">Section 905.ILLUSTRATION D  </w:t>
      </w:r>
      <w:r w:rsidR="00102A52">
        <w:rPr>
          <w:b/>
          <w:bCs/>
        </w:rPr>
        <w:t xml:space="preserve"> </w:t>
      </w:r>
      <w:r>
        <w:rPr>
          <w:b/>
          <w:bCs/>
        </w:rPr>
        <w:t>Location of Components of Private Sewage Disposal</w:t>
      </w:r>
      <w:r w:rsidR="00102A52">
        <w:rPr>
          <w:b/>
          <w:bCs/>
        </w:rPr>
        <w:t xml:space="preserve"> </w:t>
      </w:r>
      <w:r>
        <w:rPr>
          <w:b/>
          <w:bCs/>
        </w:rPr>
        <w:t>Systems</w:t>
      </w:r>
    </w:p>
    <w:p w:rsidR="0017552B" w:rsidRDefault="0017552B" w:rsidP="0017552B"/>
    <w:tbl>
      <w:tblPr>
        <w:tblW w:w="18804" w:type="dxa"/>
        <w:tblLayout w:type="fixed"/>
        <w:tblLook w:val="0000" w:firstRow="0" w:lastRow="0" w:firstColumn="0" w:lastColumn="0" w:noHBand="0" w:noVBand="0"/>
      </w:tblPr>
      <w:tblGrid>
        <w:gridCol w:w="2448"/>
        <w:gridCol w:w="1197"/>
        <w:gridCol w:w="1070"/>
        <w:gridCol w:w="1360"/>
        <w:gridCol w:w="1116"/>
        <w:gridCol w:w="1071"/>
        <w:gridCol w:w="1140"/>
        <w:gridCol w:w="9402"/>
      </w:tblGrid>
      <w:tr w:rsidR="0017552B" w:rsidTr="00E65CE3">
        <w:trPr>
          <w:gridAfter w:val="1"/>
          <w:wAfter w:w="9402" w:type="dxa"/>
        </w:trPr>
        <w:tc>
          <w:tcPr>
            <w:tcW w:w="9402" w:type="dxa"/>
            <w:gridSpan w:val="7"/>
            <w:tcBorders>
              <w:top w:val="single" w:sz="4" w:space="0" w:color="auto"/>
            </w:tcBorders>
          </w:tcPr>
          <w:p w:rsidR="0017552B" w:rsidRPr="00DA27DC" w:rsidRDefault="0017552B" w:rsidP="0017552B">
            <w:pPr>
              <w:jc w:val="center"/>
              <w:rPr>
                <w:vertAlign w:val="superscript"/>
              </w:rPr>
            </w:pPr>
            <w:r>
              <w:t>MINIMUM DISTANCE ALLOWABLE FROM</w:t>
            </w:r>
            <w:r w:rsidR="00DA27DC">
              <w:t xml:space="preserve"> </w:t>
            </w:r>
            <w:r w:rsidR="00DA27DC">
              <w:rPr>
                <w:vertAlign w:val="superscript"/>
              </w:rPr>
              <w:t>1,2</w:t>
            </w:r>
          </w:p>
        </w:tc>
      </w:tr>
      <w:tr w:rsidR="0017552B" w:rsidTr="00E65CE3">
        <w:trPr>
          <w:gridAfter w:val="1"/>
          <w:wAfter w:w="9402" w:type="dxa"/>
        </w:trPr>
        <w:tc>
          <w:tcPr>
            <w:tcW w:w="8262" w:type="dxa"/>
            <w:gridSpan w:val="6"/>
          </w:tcPr>
          <w:p w:rsidR="0017552B" w:rsidRDefault="0017552B" w:rsidP="0017552B"/>
        </w:tc>
        <w:tc>
          <w:tcPr>
            <w:tcW w:w="1140" w:type="dxa"/>
            <w:vMerge w:val="restart"/>
            <w:vAlign w:val="bottom"/>
          </w:tcPr>
          <w:p w:rsidR="0017552B" w:rsidRDefault="0017552B" w:rsidP="0017552B">
            <w:r>
              <w:t>Artificial</w:t>
            </w:r>
            <w:r w:rsidR="00102A52">
              <w:t xml:space="preserve"> </w:t>
            </w:r>
            <w:r>
              <w:t>Drain</w:t>
            </w:r>
          </w:p>
        </w:tc>
      </w:tr>
      <w:tr w:rsidR="0017552B" w:rsidTr="00E65CE3">
        <w:trPr>
          <w:gridAfter w:val="1"/>
          <w:wAfter w:w="9402" w:type="dxa"/>
          <w:trHeight w:val="1995"/>
        </w:trPr>
        <w:tc>
          <w:tcPr>
            <w:tcW w:w="2448" w:type="dxa"/>
            <w:vMerge w:val="restart"/>
          </w:tcPr>
          <w:p w:rsidR="0017552B" w:rsidRDefault="0017552B" w:rsidP="0017552B">
            <w:r>
              <w:t>COMPONENT</w:t>
            </w:r>
            <w:r w:rsidR="00102A52">
              <w:t xml:space="preserve"> </w:t>
            </w:r>
            <w:r>
              <w:t>PART</w:t>
            </w:r>
            <w:r w:rsidR="00102A52">
              <w:t xml:space="preserve"> </w:t>
            </w:r>
            <w:r>
              <w:t>OF</w:t>
            </w:r>
            <w:r w:rsidR="00102A52">
              <w:t xml:space="preserve"> </w:t>
            </w:r>
            <w:r>
              <w:t>SYSTEM</w:t>
            </w:r>
          </w:p>
        </w:tc>
        <w:tc>
          <w:tcPr>
            <w:tcW w:w="1197" w:type="dxa"/>
            <w:tcBorders>
              <w:bottom w:val="nil"/>
            </w:tcBorders>
            <w:vAlign w:val="bottom"/>
          </w:tcPr>
          <w:p w:rsidR="0017552B" w:rsidRDefault="0017552B" w:rsidP="0017552B">
            <w:r>
              <w:t>Cistern</w:t>
            </w:r>
            <w:r w:rsidR="00102A52">
              <w:t xml:space="preserve"> </w:t>
            </w:r>
            <w:r>
              <w:t>Well,</w:t>
            </w:r>
            <w:r w:rsidR="00102A52">
              <w:t xml:space="preserve"> </w:t>
            </w:r>
            <w:r>
              <w:t>or</w:t>
            </w:r>
            <w:r w:rsidR="00102A52">
              <w:t xml:space="preserve"> </w:t>
            </w:r>
            <w:r>
              <w:t>Suction</w:t>
            </w:r>
            <w:r w:rsidR="00102A52">
              <w:t xml:space="preserve"> </w:t>
            </w:r>
            <w:r>
              <w:t>Line from</w:t>
            </w:r>
            <w:r w:rsidR="00102A52">
              <w:t xml:space="preserve"> </w:t>
            </w:r>
            <w:r>
              <w:t>Pump To</w:t>
            </w:r>
            <w:r w:rsidR="00102A52">
              <w:t xml:space="preserve"> </w:t>
            </w:r>
            <w:r>
              <w:t>Well</w:t>
            </w:r>
          </w:p>
        </w:tc>
        <w:tc>
          <w:tcPr>
            <w:tcW w:w="1070" w:type="dxa"/>
            <w:tcBorders>
              <w:bottom w:val="nil"/>
            </w:tcBorders>
            <w:vAlign w:val="bottom"/>
          </w:tcPr>
          <w:p w:rsidR="0017552B" w:rsidRDefault="0017552B" w:rsidP="0017552B">
            <w:r>
              <w:t>Water</w:t>
            </w:r>
            <w:r w:rsidR="00102A52">
              <w:t xml:space="preserve"> </w:t>
            </w:r>
            <w:r>
              <w:t>Supply</w:t>
            </w:r>
            <w:r w:rsidR="00102A52">
              <w:t xml:space="preserve"> </w:t>
            </w:r>
            <w:r>
              <w:t>Line</w:t>
            </w:r>
            <w:r w:rsidR="00102A52">
              <w:rPr>
                <w:vertAlign w:val="superscript"/>
              </w:rPr>
              <w:t xml:space="preserve">3 </w:t>
            </w:r>
            <w:r>
              <w:t>Pressure</w:t>
            </w:r>
          </w:p>
        </w:tc>
        <w:tc>
          <w:tcPr>
            <w:tcW w:w="1360" w:type="dxa"/>
            <w:tcBorders>
              <w:bottom w:val="nil"/>
            </w:tcBorders>
            <w:vAlign w:val="bottom"/>
          </w:tcPr>
          <w:p w:rsidR="0017552B" w:rsidRDefault="0017552B" w:rsidP="0017552B">
            <w:smartTag w:uri="urn:schemas-microsoft-com:office:smarttags" w:element="place">
              <w:r>
                <w:t>Lake</w:t>
              </w:r>
            </w:smartTag>
            <w:r>
              <w:t>,</w:t>
            </w:r>
            <w:r w:rsidR="00102A52">
              <w:t xml:space="preserve"> </w:t>
            </w:r>
            <w:r>
              <w:t>Stream</w:t>
            </w:r>
            <w:r w:rsidR="00102A52">
              <w:t xml:space="preserve"> </w:t>
            </w:r>
            <w:r>
              <w:t>In ground</w:t>
            </w:r>
            <w:r w:rsidR="00102A52">
              <w:t xml:space="preserve"> </w:t>
            </w:r>
            <w:r>
              <w:t>Swimming</w:t>
            </w:r>
            <w:r w:rsidR="00102A52">
              <w:t xml:space="preserve"> </w:t>
            </w:r>
            <w:r>
              <w:t>Pool or</w:t>
            </w:r>
            <w:r w:rsidR="00102A52">
              <w:t xml:space="preserve"> </w:t>
            </w:r>
            <w:r>
              <w:t>Other Body</w:t>
            </w:r>
            <w:r w:rsidR="00102A52">
              <w:t xml:space="preserve"> </w:t>
            </w:r>
            <w:r>
              <w:t>of  Water</w:t>
            </w:r>
          </w:p>
        </w:tc>
        <w:tc>
          <w:tcPr>
            <w:tcW w:w="1116" w:type="dxa"/>
            <w:tcBorders>
              <w:bottom w:val="nil"/>
            </w:tcBorders>
            <w:vAlign w:val="bottom"/>
          </w:tcPr>
          <w:p w:rsidR="0017552B" w:rsidRDefault="0017552B" w:rsidP="0017552B">
            <w:r>
              <w:t>Property</w:t>
            </w:r>
            <w:r w:rsidR="00102A52">
              <w:t xml:space="preserve"> </w:t>
            </w:r>
            <w:r>
              <w:t>Dwelling</w:t>
            </w:r>
          </w:p>
        </w:tc>
        <w:tc>
          <w:tcPr>
            <w:tcW w:w="1071" w:type="dxa"/>
            <w:tcBorders>
              <w:bottom w:val="nil"/>
            </w:tcBorders>
            <w:vAlign w:val="bottom"/>
          </w:tcPr>
          <w:p w:rsidR="0017552B" w:rsidRDefault="0017552B" w:rsidP="0017552B">
            <w:r>
              <w:t>Property</w:t>
            </w:r>
            <w:r w:rsidR="00102A52">
              <w:t xml:space="preserve"> </w:t>
            </w:r>
            <w:r>
              <w:t>Line</w:t>
            </w:r>
            <w:r w:rsidR="00DA27DC" w:rsidRPr="00DA27DC">
              <w:rPr>
                <w:vertAlign w:val="superscript"/>
              </w:rPr>
              <w:t>4</w:t>
            </w:r>
          </w:p>
        </w:tc>
        <w:tc>
          <w:tcPr>
            <w:tcW w:w="1140" w:type="dxa"/>
            <w:vMerge/>
            <w:tcBorders>
              <w:bottom w:val="nil"/>
            </w:tcBorders>
          </w:tcPr>
          <w:p w:rsidR="0017552B" w:rsidRDefault="0017552B" w:rsidP="0017552B"/>
        </w:tc>
      </w:tr>
      <w:tr w:rsidR="0017552B" w:rsidTr="00E65CE3">
        <w:trPr>
          <w:gridAfter w:val="1"/>
          <w:wAfter w:w="9402" w:type="dxa"/>
          <w:trHeight w:val="567"/>
        </w:trPr>
        <w:tc>
          <w:tcPr>
            <w:tcW w:w="2448" w:type="dxa"/>
            <w:vMerge/>
          </w:tcPr>
          <w:p w:rsidR="0017552B" w:rsidRDefault="0017552B" w:rsidP="0017552B"/>
        </w:tc>
        <w:tc>
          <w:tcPr>
            <w:tcW w:w="1197" w:type="dxa"/>
            <w:vAlign w:val="center"/>
          </w:tcPr>
          <w:p w:rsidR="0017552B" w:rsidRDefault="0017552B" w:rsidP="0017552B">
            <w:r>
              <w:t>FEET</w:t>
            </w:r>
          </w:p>
        </w:tc>
        <w:tc>
          <w:tcPr>
            <w:tcW w:w="1070" w:type="dxa"/>
            <w:vAlign w:val="center"/>
          </w:tcPr>
          <w:p w:rsidR="0017552B" w:rsidRDefault="0017552B" w:rsidP="0017552B">
            <w:r>
              <w:t>FEET</w:t>
            </w:r>
          </w:p>
        </w:tc>
        <w:tc>
          <w:tcPr>
            <w:tcW w:w="1360" w:type="dxa"/>
            <w:vAlign w:val="center"/>
          </w:tcPr>
          <w:p w:rsidR="0017552B" w:rsidRDefault="0017552B" w:rsidP="0017552B">
            <w:r>
              <w:t>FEET</w:t>
            </w:r>
          </w:p>
        </w:tc>
        <w:tc>
          <w:tcPr>
            <w:tcW w:w="1116" w:type="dxa"/>
            <w:vAlign w:val="center"/>
          </w:tcPr>
          <w:p w:rsidR="0017552B" w:rsidRDefault="0017552B" w:rsidP="0017552B">
            <w:r>
              <w:t>FEET</w:t>
            </w:r>
          </w:p>
        </w:tc>
        <w:tc>
          <w:tcPr>
            <w:tcW w:w="1071" w:type="dxa"/>
            <w:vAlign w:val="center"/>
          </w:tcPr>
          <w:p w:rsidR="0017552B" w:rsidRDefault="0017552B" w:rsidP="0017552B">
            <w:r>
              <w:t>FEET</w:t>
            </w:r>
          </w:p>
        </w:tc>
        <w:tc>
          <w:tcPr>
            <w:tcW w:w="1140" w:type="dxa"/>
            <w:vAlign w:val="center"/>
          </w:tcPr>
          <w:p w:rsidR="0017552B" w:rsidRDefault="0017552B" w:rsidP="0017552B">
            <w:r>
              <w:t>FEET</w:t>
            </w:r>
          </w:p>
        </w:tc>
      </w:tr>
      <w:tr w:rsidR="0017552B" w:rsidTr="00E65CE3">
        <w:trPr>
          <w:gridAfter w:val="1"/>
          <w:wAfter w:w="9402" w:type="dxa"/>
          <w:trHeight w:val="580"/>
        </w:trPr>
        <w:tc>
          <w:tcPr>
            <w:tcW w:w="2448" w:type="dxa"/>
            <w:tcBorders>
              <w:top w:val="single" w:sz="4" w:space="0" w:color="auto"/>
            </w:tcBorders>
            <w:vAlign w:val="bottom"/>
          </w:tcPr>
          <w:p w:rsidR="0017552B" w:rsidRDefault="0017552B" w:rsidP="003461AB">
            <w:pPr>
              <w:ind w:left="18" w:right="-81"/>
            </w:pPr>
            <w:r>
              <w:t xml:space="preserve">Building Sewer </w:t>
            </w:r>
            <w:r w:rsidR="00DA27DC" w:rsidRPr="00DA27DC">
              <w:rPr>
                <w:vertAlign w:val="superscript"/>
              </w:rPr>
              <w:t>5</w:t>
            </w:r>
          </w:p>
        </w:tc>
        <w:tc>
          <w:tcPr>
            <w:tcW w:w="1197" w:type="dxa"/>
            <w:tcBorders>
              <w:top w:val="single" w:sz="4" w:space="0" w:color="auto"/>
            </w:tcBorders>
            <w:vAlign w:val="bottom"/>
          </w:tcPr>
          <w:p w:rsidR="0017552B" w:rsidRDefault="0017552B" w:rsidP="0017552B">
            <w:pPr>
              <w:ind w:right="161"/>
              <w:jc w:val="center"/>
            </w:pPr>
            <w:r>
              <w:t>50</w:t>
            </w:r>
          </w:p>
        </w:tc>
        <w:tc>
          <w:tcPr>
            <w:tcW w:w="1070" w:type="dxa"/>
            <w:tcBorders>
              <w:top w:val="single" w:sz="4" w:space="0" w:color="auto"/>
            </w:tcBorders>
            <w:vAlign w:val="bottom"/>
          </w:tcPr>
          <w:p w:rsidR="0017552B" w:rsidRDefault="0017552B" w:rsidP="0017552B">
            <w:pPr>
              <w:jc w:val="center"/>
            </w:pPr>
            <w:r>
              <w:t>10</w:t>
            </w:r>
          </w:p>
        </w:tc>
        <w:tc>
          <w:tcPr>
            <w:tcW w:w="1360" w:type="dxa"/>
            <w:tcBorders>
              <w:top w:val="single" w:sz="4" w:space="0" w:color="auto"/>
            </w:tcBorders>
            <w:vAlign w:val="bottom"/>
          </w:tcPr>
          <w:p w:rsidR="0017552B" w:rsidRDefault="0017552B" w:rsidP="0017552B">
            <w:pPr>
              <w:jc w:val="center"/>
            </w:pPr>
            <w:r>
              <w:t>25</w:t>
            </w:r>
          </w:p>
        </w:tc>
        <w:tc>
          <w:tcPr>
            <w:tcW w:w="1116" w:type="dxa"/>
            <w:tcBorders>
              <w:top w:val="single" w:sz="4" w:space="0" w:color="auto"/>
            </w:tcBorders>
            <w:vAlign w:val="bottom"/>
          </w:tcPr>
          <w:p w:rsidR="0017552B" w:rsidRDefault="0017552B" w:rsidP="0017552B">
            <w:pPr>
              <w:jc w:val="center"/>
            </w:pPr>
            <w:r>
              <w:t>–</w:t>
            </w:r>
          </w:p>
        </w:tc>
        <w:tc>
          <w:tcPr>
            <w:tcW w:w="1071" w:type="dxa"/>
            <w:tcBorders>
              <w:top w:val="single" w:sz="4" w:space="0" w:color="auto"/>
            </w:tcBorders>
            <w:vAlign w:val="bottom"/>
          </w:tcPr>
          <w:p w:rsidR="0017552B" w:rsidRDefault="0017552B" w:rsidP="0017552B">
            <w:pPr>
              <w:jc w:val="center"/>
            </w:pPr>
            <w:r>
              <w:t>–</w:t>
            </w:r>
          </w:p>
        </w:tc>
        <w:tc>
          <w:tcPr>
            <w:tcW w:w="1140" w:type="dxa"/>
            <w:tcBorders>
              <w:top w:val="single" w:sz="4" w:space="0" w:color="auto"/>
            </w:tcBorders>
            <w:vAlign w:val="bottom"/>
          </w:tcPr>
          <w:p w:rsidR="0017552B" w:rsidRDefault="0017552B" w:rsidP="0017552B">
            <w:pPr>
              <w:jc w:val="center"/>
            </w:pPr>
            <w:r>
              <w:t>–</w:t>
            </w:r>
          </w:p>
        </w:tc>
      </w:tr>
      <w:tr w:rsidR="0017552B" w:rsidTr="00E65CE3">
        <w:trPr>
          <w:gridAfter w:val="1"/>
          <w:wAfter w:w="9402" w:type="dxa"/>
          <w:trHeight w:val="603"/>
        </w:trPr>
        <w:tc>
          <w:tcPr>
            <w:tcW w:w="2448" w:type="dxa"/>
          </w:tcPr>
          <w:p w:rsidR="0017552B" w:rsidRDefault="0017552B" w:rsidP="003461AB">
            <w:pPr>
              <w:ind w:left="198" w:right="-81" w:hanging="180"/>
            </w:pPr>
            <w:r>
              <w:t>Septic Tank</w:t>
            </w:r>
            <w:r w:rsidR="00102A52">
              <w:t xml:space="preserve"> </w:t>
            </w:r>
            <w:r>
              <w:t>or Aerobic</w:t>
            </w:r>
            <w:r w:rsidR="00102A52">
              <w:t xml:space="preserve"> </w:t>
            </w:r>
            <w:r>
              <w:t>Treatment</w:t>
            </w:r>
            <w:r w:rsidR="00102A52">
              <w:t xml:space="preserve"> </w:t>
            </w:r>
            <w:r>
              <w:t>Plant</w:t>
            </w:r>
          </w:p>
        </w:tc>
        <w:tc>
          <w:tcPr>
            <w:tcW w:w="1197" w:type="dxa"/>
          </w:tcPr>
          <w:p w:rsidR="0017552B" w:rsidRDefault="0017552B" w:rsidP="0017552B">
            <w:pPr>
              <w:ind w:right="161"/>
              <w:jc w:val="center"/>
            </w:pPr>
            <w:r>
              <w:t>50</w:t>
            </w:r>
          </w:p>
        </w:tc>
        <w:tc>
          <w:tcPr>
            <w:tcW w:w="1070" w:type="dxa"/>
          </w:tcPr>
          <w:p w:rsidR="0017552B" w:rsidRPr="003461AB" w:rsidRDefault="0017552B" w:rsidP="0017552B">
            <w:pPr>
              <w:jc w:val="center"/>
              <w:rPr>
                <w:vertAlign w:val="superscript"/>
              </w:rPr>
            </w:pPr>
            <w:r>
              <w:t>10</w:t>
            </w:r>
            <w:r w:rsidR="003461AB">
              <w:rPr>
                <w:vertAlign w:val="superscript"/>
              </w:rPr>
              <w:t>9</w:t>
            </w:r>
          </w:p>
        </w:tc>
        <w:tc>
          <w:tcPr>
            <w:tcW w:w="1360" w:type="dxa"/>
          </w:tcPr>
          <w:p w:rsidR="0017552B" w:rsidRDefault="0017552B" w:rsidP="0017552B">
            <w:pPr>
              <w:jc w:val="center"/>
            </w:pPr>
            <w:r>
              <w:t>25</w:t>
            </w:r>
          </w:p>
        </w:tc>
        <w:tc>
          <w:tcPr>
            <w:tcW w:w="1116" w:type="dxa"/>
          </w:tcPr>
          <w:p w:rsidR="0017552B" w:rsidRDefault="0017552B" w:rsidP="0017552B">
            <w:pPr>
              <w:ind w:right="-93"/>
              <w:jc w:val="center"/>
            </w:pPr>
            <w:r>
              <w:t>5</w:t>
            </w:r>
          </w:p>
        </w:tc>
        <w:tc>
          <w:tcPr>
            <w:tcW w:w="1071" w:type="dxa"/>
          </w:tcPr>
          <w:p w:rsidR="0017552B" w:rsidRDefault="0017552B" w:rsidP="0017552B">
            <w:pPr>
              <w:jc w:val="center"/>
            </w:pPr>
            <w:r>
              <w:t>5</w:t>
            </w:r>
          </w:p>
        </w:tc>
        <w:tc>
          <w:tcPr>
            <w:tcW w:w="1140" w:type="dxa"/>
          </w:tcPr>
          <w:p w:rsidR="0017552B" w:rsidRDefault="0017552B" w:rsidP="0017552B">
            <w:pPr>
              <w:jc w:val="center"/>
            </w:pPr>
            <w:r>
              <w:t>–</w:t>
            </w:r>
          </w:p>
        </w:tc>
      </w:tr>
      <w:tr w:rsidR="0017552B" w:rsidTr="00E65CE3">
        <w:trPr>
          <w:gridAfter w:val="1"/>
          <w:wAfter w:w="9402" w:type="dxa"/>
        </w:trPr>
        <w:tc>
          <w:tcPr>
            <w:tcW w:w="2448" w:type="dxa"/>
          </w:tcPr>
          <w:p w:rsidR="0017552B" w:rsidRDefault="0017552B" w:rsidP="003461AB">
            <w:pPr>
              <w:ind w:left="18" w:right="-81"/>
            </w:pPr>
            <w:r>
              <w:t>Distribution Box</w:t>
            </w:r>
          </w:p>
        </w:tc>
        <w:tc>
          <w:tcPr>
            <w:tcW w:w="1197" w:type="dxa"/>
          </w:tcPr>
          <w:p w:rsidR="0017552B" w:rsidRDefault="0017552B" w:rsidP="0017552B">
            <w:pPr>
              <w:ind w:right="161"/>
              <w:jc w:val="center"/>
            </w:pPr>
            <w:r>
              <w:t>75</w:t>
            </w:r>
          </w:p>
        </w:tc>
        <w:tc>
          <w:tcPr>
            <w:tcW w:w="1070" w:type="dxa"/>
          </w:tcPr>
          <w:p w:rsidR="0017552B" w:rsidRDefault="0017552B" w:rsidP="0017552B">
            <w:pPr>
              <w:jc w:val="center"/>
            </w:pPr>
            <w:r>
              <w:t>10</w:t>
            </w:r>
          </w:p>
        </w:tc>
        <w:tc>
          <w:tcPr>
            <w:tcW w:w="1360" w:type="dxa"/>
          </w:tcPr>
          <w:p w:rsidR="0017552B" w:rsidRDefault="0017552B" w:rsidP="0017552B">
            <w:pPr>
              <w:jc w:val="center"/>
            </w:pPr>
            <w:r>
              <w:t>25</w:t>
            </w:r>
          </w:p>
        </w:tc>
        <w:tc>
          <w:tcPr>
            <w:tcW w:w="1116" w:type="dxa"/>
          </w:tcPr>
          <w:p w:rsidR="0017552B" w:rsidRDefault="0017552B" w:rsidP="0017552B">
            <w:pPr>
              <w:jc w:val="center"/>
            </w:pPr>
            <w:r>
              <w:t>10</w:t>
            </w:r>
          </w:p>
        </w:tc>
        <w:tc>
          <w:tcPr>
            <w:tcW w:w="1071" w:type="dxa"/>
          </w:tcPr>
          <w:p w:rsidR="0017552B" w:rsidRDefault="0017552B" w:rsidP="0017552B">
            <w:pPr>
              <w:jc w:val="center"/>
            </w:pPr>
            <w:r>
              <w:t>5</w:t>
            </w:r>
          </w:p>
        </w:tc>
        <w:tc>
          <w:tcPr>
            <w:tcW w:w="1140" w:type="dxa"/>
          </w:tcPr>
          <w:p w:rsidR="0017552B" w:rsidRDefault="0017552B" w:rsidP="0017552B">
            <w:pPr>
              <w:jc w:val="center"/>
            </w:pPr>
            <w:r>
              <w:t>–</w:t>
            </w:r>
          </w:p>
        </w:tc>
      </w:tr>
      <w:tr w:rsidR="0017552B" w:rsidTr="00E65CE3">
        <w:trPr>
          <w:gridAfter w:val="1"/>
          <w:wAfter w:w="9402" w:type="dxa"/>
          <w:trHeight w:val="570"/>
        </w:trPr>
        <w:tc>
          <w:tcPr>
            <w:tcW w:w="2448" w:type="dxa"/>
          </w:tcPr>
          <w:p w:rsidR="0017552B" w:rsidRDefault="0017552B" w:rsidP="003461AB">
            <w:pPr>
              <w:ind w:left="207" w:right="-81" w:hanging="189"/>
            </w:pPr>
            <w:r>
              <w:t>Subsurface</w:t>
            </w:r>
            <w:r w:rsidR="00102A52">
              <w:t xml:space="preserve"> </w:t>
            </w:r>
            <w:r>
              <w:t>Seepage System</w:t>
            </w:r>
          </w:p>
        </w:tc>
        <w:tc>
          <w:tcPr>
            <w:tcW w:w="1197" w:type="dxa"/>
          </w:tcPr>
          <w:p w:rsidR="0017552B" w:rsidRDefault="0017552B" w:rsidP="0017552B">
            <w:pPr>
              <w:ind w:right="161"/>
              <w:jc w:val="center"/>
            </w:pPr>
            <w:r>
              <w:t>75</w:t>
            </w:r>
          </w:p>
        </w:tc>
        <w:tc>
          <w:tcPr>
            <w:tcW w:w="1070" w:type="dxa"/>
          </w:tcPr>
          <w:p w:rsidR="0017552B" w:rsidRDefault="0017552B" w:rsidP="0017552B">
            <w:pPr>
              <w:jc w:val="center"/>
            </w:pPr>
            <w:r>
              <w:t>25</w:t>
            </w:r>
          </w:p>
        </w:tc>
        <w:tc>
          <w:tcPr>
            <w:tcW w:w="1360" w:type="dxa"/>
          </w:tcPr>
          <w:p w:rsidR="0017552B" w:rsidRDefault="0017552B" w:rsidP="0017552B">
            <w:pPr>
              <w:jc w:val="center"/>
            </w:pPr>
            <w:r>
              <w:t>25</w:t>
            </w:r>
          </w:p>
        </w:tc>
        <w:tc>
          <w:tcPr>
            <w:tcW w:w="1116" w:type="dxa"/>
          </w:tcPr>
          <w:p w:rsidR="0017552B" w:rsidRDefault="0017552B" w:rsidP="0017552B">
            <w:pPr>
              <w:jc w:val="center"/>
            </w:pPr>
            <w:r>
              <w:t>10</w:t>
            </w:r>
          </w:p>
        </w:tc>
        <w:tc>
          <w:tcPr>
            <w:tcW w:w="1071" w:type="dxa"/>
          </w:tcPr>
          <w:p w:rsidR="0017552B" w:rsidRDefault="0017552B" w:rsidP="0017552B">
            <w:pPr>
              <w:jc w:val="center"/>
            </w:pPr>
            <w:r>
              <w:t>5</w:t>
            </w:r>
          </w:p>
        </w:tc>
        <w:tc>
          <w:tcPr>
            <w:tcW w:w="1140" w:type="dxa"/>
          </w:tcPr>
          <w:p w:rsidR="0017552B" w:rsidRDefault="0017552B" w:rsidP="0017552B">
            <w:pPr>
              <w:jc w:val="center"/>
            </w:pPr>
            <w:r>
              <w:t>10</w:t>
            </w:r>
          </w:p>
        </w:tc>
      </w:tr>
      <w:tr w:rsidR="0017552B" w:rsidTr="00E65CE3">
        <w:trPr>
          <w:gridAfter w:val="1"/>
          <w:wAfter w:w="9402" w:type="dxa"/>
        </w:trPr>
        <w:tc>
          <w:tcPr>
            <w:tcW w:w="2448" w:type="dxa"/>
          </w:tcPr>
          <w:p w:rsidR="0017552B" w:rsidRDefault="0017552B" w:rsidP="003461AB">
            <w:pPr>
              <w:ind w:left="18" w:right="-81"/>
            </w:pPr>
            <w:r>
              <w:t>Sand Filter</w:t>
            </w:r>
          </w:p>
        </w:tc>
        <w:tc>
          <w:tcPr>
            <w:tcW w:w="1197" w:type="dxa"/>
          </w:tcPr>
          <w:p w:rsidR="0017552B" w:rsidRDefault="0017552B" w:rsidP="0017552B">
            <w:pPr>
              <w:ind w:right="161"/>
              <w:jc w:val="center"/>
            </w:pPr>
            <w:r>
              <w:t>75</w:t>
            </w:r>
          </w:p>
        </w:tc>
        <w:tc>
          <w:tcPr>
            <w:tcW w:w="1070" w:type="dxa"/>
          </w:tcPr>
          <w:p w:rsidR="0017552B" w:rsidRDefault="0017552B" w:rsidP="0017552B">
            <w:pPr>
              <w:jc w:val="center"/>
            </w:pPr>
            <w:r>
              <w:t>25</w:t>
            </w:r>
          </w:p>
        </w:tc>
        <w:tc>
          <w:tcPr>
            <w:tcW w:w="1360" w:type="dxa"/>
          </w:tcPr>
          <w:p w:rsidR="0017552B" w:rsidRDefault="0017552B" w:rsidP="0017552B">
            <w:pPr>
              <w:jc w:val="center"/>
            </w:pPr>
            <w:r>
              <w:t>15</w:t>
            </w:r>
          </w:p>
        </w:tc>
        <w:tc>
          <w:tcPr>
            <w:tcW w:w="1116" w:type="dxa"/>
          </w:tcPr>
          <w:p w:rsidR="0017552B" w:rsidRDefault="0017552B" w:rsidP="0017552B">
            <w:pPr>
              <w:jc w:val="center"/>
            </w:pPr>
            <w:r>
              <w:t>10</w:t>
            </w:r>
          </w:p>
        </w:tc>
        <w:tc>
          <w:tcPr>
            <w:tcW w:w="1071" w:type="dxa"/>
          </w:tcPr>
          <w:p w:rsidR="0017552B" w:rsidRDefault="0017552B" w:rsidP="0017552B">
            <w:pPr>
              <w:jc w:val="center"/>
            </w:pPr>
            <w:r>
              <w:t>5</w:t>
            </w:r>
          </w:p>
        </w:tc>
        <w:tc>
          <w:tcPr>
            <w:tcW w:w="1140" w:type="dxa"/>
          </w:tcPr>
          <w:p w:rsidR="0017552B" w:rsidRDefault="0017552B" w:rsidP="0017552B">
            <w:pPr>
              <w:jc w:val="center"/>
            </w:pPr>
            <w:r>
              <w:t>10</w:t>
            </w:r>
          </w:p>
        </w:tc>
      </w:tr>
      <w:tr w:rsidR="0017552B" w:rsidTr="00E65CE3">
        <w:trPr>
          <w:gridAfter w:val="1"/>
          <w:wAfter w:w="9402" w:type="dxa"/>
        </w:trPr>
        <w:tc>
          <w:tcPr>
            <w:tcW w:w="2448" w:type="dxa"/>
          </w:tcPr>
          <w:p w:rsidR="0017552B" w:rsidRDefault="0017552B" w:rsidP="003461AB">
            <w:pPr>
              <w:ind w:left="18" w:right="-81"/>
            </w:pPr>
            <w:r>
              <w:t>Privy</w:t>
            </w:r>
          </w:p>
        </w:tc>
        <w:tc>
          <w:tcPr>
            <w:tcW w:w="1197" w:type="dxa"/>
          </w:tcPr>
          <w:p w:rsidR="0017552B" w:rsidRDefault="0017552B" w:rsidP="0017552B">
            <w:pPr>
              <w:ind w:right="161"/>
              <w:jc w:val="center"/>
            </w:pPr>
            <w:r>
              <w:t>75</w:t>
            </w:r>
          </w:p>
        </w:tc>
        <w:tc>
          <w:tcPr>
            <w:tcW w:w="1070" w:type="dxa"/>
          </w:tcPr>
          <w:p w:rsidR="0017552B" w:rsidRDefault="0017552B" w:rsidP="0017552B">
            <w:pPr>
              <w:jc w:val="center"/>
            </w:pPr>
            <w:r>
              <w:t>25</w:t>
            </w:r>
          </w:p>
        </w:tc>
        <w:tc>
          <w:tcPr>
            <w:tcW w:w="1360" w:type="dxa"/>
          </w:tcPr>
          <w:p w:rsidR="0017552B" w:rsidRDefault="0017552B" w:rsidP="0017552B">
            <w:pPr>
              <w:jc w:val="center"/>
            </w:pPr>
            <w:r>
              <w:t>25</w:t>
            </w:r>
          </w:p>
        </w:tc>
        <w:tc>
          <w:tcPr>
            <w:tcW w:w="1116" w:type="dxa"/>
          </w:tcPr>
          <w:p w:rsidR="0017552B" w:rsidRDefault="0017552B" w:rsidP="0017552B">
            <w:pPr>
              <w:jc w:val="center"/>
            </w:pPr>
            <w:r>
              <w:t>20</w:t>
            </w:r>
          </w:p>
        </w:tc>
        <w:tc>
          <w:tcPr>
            <w:tcW w:w="1071" w:type="dxa"/>
          </w:tcPr>
          <w:p w:rsidR="0017552B" w:rsidRDefault="0017552B" w:rsidP="0017552B">
            <w:pPr>
              <w:jc w:val="center"/>
            </w:pPr>
            <w:r>
              <w:t>5</w:t>
            </w:r>
          </w:p>
        </w:tc>
        <w:tc>
          <w:tcPr>
            <w:tcW w:w="1140" w:type="dxa"/>
          </w:tcPr>
          <w:p w:rsidR="0017552B" w:rsidRDefault="0017552B" w:rsidP="0017552B">
            <w:pPr>
              <w:jc w:val="center"/>
            </w:pPr>
            <w:r>
              <w:t>10</w:t>
            </w:r>
          </w:p>
        </w:tc>
      </w:tr>
      <w:tr w:rsidR="0017552B" w:rsidTr="00E65CE3">
        <w:trPr>
          <w:gridAfter w:val="1"/>
          <w:wAfter w:w="9402" w:type="dxa"/>
          <w:trHeight w:val="570"/>
        </w:trPr>
        <w:tc>
          <w:tcPr>
            <w:tcW w:w="2448" w:type="dxa"/>
          </w:tcPr>
          <w:p w:rsidR="0017552B" w:rsidRDefault="0017552B" w:rsidP="003461AB">
            <w:pPr>
              <w:ind w:left="207" w:right="-81" w:hanging="207"/>
            </w:pPr>
            <w:r>
              <w:t>Waste Stabilization</w:t>
            </w:r>
            <w:r w:rsidR="00102A52">
              <w:t xml:space="preserve"> </w:t>
            </w:r>
            <w:r>
              <w:t>Pond</w:t>
            </w:r>
          </w:p>
        </w:tc>
        <w:tc>
          <w:tcPr>
            <w:tcW w:w="1197" w:type="dxa"/>
          </w:tcPr>
          <w:p w:rsidR="0017552B" w:rsidRDefault="0017552B" w:rsidP="0017552B">
            <w:pPr>
              <w:ind w:right="161"/>
              <w:jc w:val="center"/>
            </w:pPr>
            <w:r>
              <w:t>75</w:t>
            </w:r>
          </w:p>
        </w:tc>
        <w:tc>
          <w:tcPr>
            <w:tcW w:w="1070" w:type="dxa"/>
          </w:tcPr>
          <w:p w:rsidR="0017552B" w:rsidRDefault="0017552B" w:rsidP="0017552B">
            <w:pPr>
              <w:jc w:val="center"/>
            </w:pPr>
            <w:r>
              <w:t>25</w:t>
            </w:r>
          </w:p>
        </w:tc>
        <w:tc>
          <w:tcPr>
            <w:tcW w:w="1360" w:type="dxa"/>
          </w:tcPr>
          <w:p w:rsidR="0017552B" w:rsidRDefault="0017552B" w:rsidP="0017552B">
            <w:pPr>
              <w:jc w:val="center"/>
            </w:pPr>
            <w:r>
              <w:t>25</w:t>
            </w:r>
          </w:p>
        </w:tc>
        <w:tc>
          <w:tcPr>
            <w:tcW w:w="1116" w:type="dxa"/>
          </w:tcPr>
          <w:p w:rsidR="0017552B" w:rsidRDefault="0017552B" w:rsidP="0017552B">
            <w:pPr>
              <w:jc w:val="center"/>
            </w:pPr>
            <w:r>
              <w:t>20</w:t>
            </w:r>
          </w:p>
        </w:tc>
        <w:tc>
          <w:tcPr>
            <w:tcW w:w="1071" w:type="dxa"/>
          </w:tcPr>
          <w:p w:rsidR="0017552B" w:rsidRDefault="0017552B" w:rsidP="0017552B">
            <w:pPr>
              <w:jc w:val="center"/>
            </w:pPr>
            <w:r>
              <w:t>5</w:t>
            </w:r>
          </w:p>
        </w:tc>
        <w:tc>
          <w:tcPr>
            <w:tcW w:w="1140" w:type="dxa"/>
          </w:tcPr>
          <w:p w:rsidR="0017552B" w:rsidRDefault="0017552B" w:rsidP="0017552B">
            <w:pPr>
              <w:jc w:val="center"/>
            </w:pPr>
            <w:r>
              <w:t>10</w:t>
            </w:r>
          </w:p>
        </w:tc>
      </w:tr>
      <w:tr w:rsidR="0017552B" w:rsidTr="00E65CE3">
        <w:trPr>
          <w:gridAfter w:val="1"/>
          <w:wAfter w:w="9402" w:type="dxa"/>
          <w:trHeight w:val="570"/>
        </w:trPr>
        <w:tc>
          <w:tcPr>
            <w:tcW w:w="2448" w:type="dxa"/>
          </w:tcPr>
          <w:p w:rsidR="0017552B" w:rsidRDefault="0017552B" w:rsidP="003461AB">
            <w:pPr>
              <w:ind w:left="198" w:right="-81" w:hanging="180"/>
            </w:pPr>
            <w:r>
              <w:t>Surface Discharge</w:t>
            </w:r>
            <w:r w:rsidR="00102A52">
              <w:t xml:space="preserve"> </w:t>
            </w:r>
            <w:r>
              <w:t xml:space="preserve">Effluent Line </w:t>
            </w:r>
          </w:p>
        </w:tc>
        <w:tc>
          <w:tcPr>
            <w:tcW w:w="1197" w:type="dxa"/>
          </w:tcPr>
          <w:p w:rsidR="0017552B" w:rsidRDefault="0017552B" w:rsidP="0017552B">
            <w:pPr>
              <w:ind w:right="161"/>
              <w:jc w:val="center"/>
            </w:pPr>
            <w:r>
              <w:t>50</w:t>
            </w:r>
          </w:p>
        </w:tc>
        <w:tc>
          <w:tcPr>
            <w:tcW w:w="1070" w:type="dxa"/>
          </w:tcPr>
          <w:p w:rsidR="0017552B" w:rsidRDefault="0017552B" w:rsidP="0017552B">
            <w:pPr>
              <w:jc w:val="center"/>
            </w:pPr>
            <w:r>
              <w:t>10</w:t>
            </w:r>
          </w:p>
        </w:tc>
        <w:tc>
          <w:tcPr>
            <w:tcW w:w="1360" w:type="dxa"/>
          </w:tcPr>
          <w:p w:rsidR="0017552B" w:rsidRDefault="0017552B" w:rsidP="0017552B">
            <w:pPr>
              <w:jc w:val="center"/>
            </w:pPr>
            <w:r>
              <w:t>–</w:t>
            </w:r>
          </w:p>
        </w:tc>
        <w:tc>
          <w:tcPr>
            <w:tcW w:w="1116" w:type="dxa"/>
          </w:tcPr>
          <w:p w:rsidR="0017552B" w:rsidRDefault="0017552B" w:rsidP="0017552B">
            <w:pPr>
              <w:jc w:val="center"/>
            </w:pPr>
            <w:r>
              <w:t>–</w:t>
            </w:r>
          </w:p>
        </w:tc>
        <w:tc>
          <w:tcPr>
            <w:tcW w:w="1071" w:type="dxa"/>
          </w:tcPr>
          <w:p w:rsidR="0017552B" w:rsidRDefault="0017552B" w:rsidP="0017552B">
            <w:pPr>
              <w:jc w:val="center"/>
            </w:pPr>
            <w:r>
              <w:t>5</w:t>
            </w:r>
          </w:p>
        </w:tc>
        <w:tc>
          <w:tcPr>
            <w:tcW w:w="1140" w:type="dxa"/>
          </w:tcPr>
          <w:p w:rsidR="0017552B" w:rsidRDefault="0017552B" w:rsidP="0017552B">
            <w:pPr>
              <w:jc w:val="center"/>
            </w:pPr>
            <w:r>
              <w:t>–</w:t>
            </w:r>
          </w:p>
        </w:tc>
      </w:tr>
      <w:tr w:rsidR="0017552B" w:rsidTr="00E65CE3">
        <w:trPr>
          <w:gridAfter w:val="1"/>
          <w:wAfter w:w="9402" w:type="dxa"/>
          <w:trHeight w:val="570"/>
        </w:trPr>
        <w:tc>
          <w:tcPr>
            <w:tcW w:w="2448" w:type="dxa"/>
          </w:tcPr>
          <w:p w:rsidR="0017552B" w:rsidRDefault="0017552B" w:rsidP="003461AB">
            <w:pPr>
              <w:ind w:left="198" w:right="-81" w:hanging="180"/>
            </w:pPr>
            <w:r>
              <w:t>Effluent Receiving</w:t>
            </w:r>
            <w:r w:rsidR="00102A52">
              <w:t xml:space="preserve"> </w:t>
            </w:r>
            <w:r>
              <w:t>Trench</w:t>
            </w:r>
          </w:p>
        </w:tc>
        <w:tc>
          <w:tcPr>
            <w:tcW w:w="1197" w:type="dxa"/>
          </w:tcPr>
          <w:p w:rsidR="0017552B" w:rsidRDefault="0017552B" w:rsidP="0017552B">
            <w:pPr>
              <w:ind w:right="161"/>
              <w:jc w:val="center"/>
            </w:pPr>
            <w:r>
              <w:t>75</w:t>
            </w:r>
          </w:p>
        </w:tc>
        <w:tc>
          <w:tcPr>
            <w:tcW w:w="1070" w:type="dxa"/>
          </w:tcPr>
          <w:p w:rsidR="0017552B" w:rsidRDefault="0017552B" w:rsidP="0017552B">
            <w:pPr>
              <w:jc w:val="center"/>
            </w:pPr>
            <w:r>
              <w:t>25</w:t>
            </w:r>
          </w:p>
        </w:tc>
        <w:tc>
          <w:tcPr>
            <w:tcW w:w="1360" w:type="dxa"/>
          </w:tcPr>
          <w:p w:rsidR="0017552B" w:rsidRDefault="0017552B" w:rsidP="0017552B">
            <w:pPr>
              <w:jc w:val="center"/>
            </w:pPr>
            <w:r>
              <w:t>15</w:t>
            </w:r>
          </w:p>
        </w:tc>
        <w:tc>
          <w:tcPr>
            <w:tcW w:w="1116" w:type="dxa"/>
          </w:tcPr>
          <w:p w:rsidR="0017552B" w:rsidRDefault="0017552B" w:rsidP="0017552B">
            <w:pPr>
              <w:jc w:val="center"/>
            </w:pPr>
            <w:r>
              <w:t>10</w:t>
            </w:r>
          </w:p>
        </w:tc>
        <w:tc>
          <w:tcPr>
            <w:tcW w:w="1071" w:type="dxa"/>
          </w:tcPr>
          <w:p w:rsidR="0017552B" w:rsidRDefault="0017552B" w:rsidP="0017552B">
            <w:pPr>
              <w:jc w:val="center"/>
            </w:pPr>
            <w:r>
              <w:t>5</w:t>
            </w:r>
          </w:p>
        </w:tc>
        <w:tc>
          <w:tcPr>
            <w:tcW w:w="1140" w:type="dxa"/>
          </w:tcPr>
          <w:p w:rsidR="0017552B" w:rsidRDefault="0017552B" w:rsidP="0017552B">
            <w:pPr>
              <w:jc w:val="center"/>
            </w:pPr>
            <w:r>
              <w:t>10</w:t>
            </w:r>
          </w:p>
        </w:tc>
      </w:tr>
      <w:tr w:rsidR="00862CF4" w:rsidTr="00E65CE3">
        <w:trPr>
          <w:gridAfter w:val="1"/>
          <w:wAfter w:w="9402" w:type="dxa"/>
          <w:trHeight w:val="570"/>
        </w:trPr>
        <w:tc>
          <w:tcPr>
            <w:tcW w:w="2448" w:type="dxa"/>
          </w:tcPr>
          <w:p w:rsidR="00862CF4" w:rsidRDefault="00862CF4" w:rsidP="003461AB">
            <w:pPr>
              <w:ind w:left="198" w:right="-81" w:hanging="180"/>
            </w:pPr>
            <w:r w:rsidRPr="00B00218">
              <w:t>Treated Effluent Discharge Point</w:t>
            </w:r>
            <w:r w:rsidRPr="00B00218">
              <w:rPr>
                <w:vertAlign w:val="superscript"/>
              </w:rPr>
              <w:t>6</w:t>
            </w:r>
          </w:p>
        </w:tc>
        <w:tc>
          <w:tcPr>
            <w:tcW w:w="1197" w:type="dxa"/>
          </w:tcPr>
          <w:p w:rsidR="00862CF4" w:rsidRDefault="00862CF4" w:rsidP="0017552B">
            <w:pPr>
              <w:ind w:right="161"/>
              <w:jc w:val="center"/>
            </w:pPr>
            <w:r w:rsidRPr="00B00218">
              <w:t>50</w:t>
            </w:r>
          </w:p>
        </w:tc>
        <w:tc>
          <w:tcPr>
            <w:tcW w:w="1070" w:type="dxa"/>
          </w:tcPr>
          <w:p w:rsidR="00862CF4" w:rsidRDefault="00862CF4" w:rsidP="0017552B">
            <w:pPr>
              <w:jc w:val="center"/>
            </w:pPr>
            <w:r w:rsidRPr="00B00218">
              <w:t>10</w:t>
            </w:r>
          </w:p>
        </w:tc>
        <w:tc>
          <w:tcPr>
            <w:tcW w:w="1360" w:type="dxa"/>
          </w:tcPr>
          <w:p w:rsidR="00862CF4" w:rsidRDefault="003461AB" w:rsidP="0017552B">
            <w:pPr>
              <w:jc w:val="center"/>
            </w:pPr>
            <w:r>
              <w:t>−</w:t>
            </w:r>
          </w:p>
        </w:tc>
        <w:tc>
          <w:tcPr>
            <w:tcW w:w="1116" w:type="dxa"/>
          </w:tcPr>
          <w:p w:rsidR="00862CF4" w:rsidRDefault="00862CF4" w:rsidP="0017552B">
            <w:pPr>
              <w:jc w:val="center"/>
            </w:pPr>
            <w:r w:rsidRPr="00B00218">
              <w:t>20</w:t>
            </w:r>
          </w:p>
        </w:tc>
        <w:tc>
          <w:tcPr>
            <w:tcW w:w="1071" w:type="dxa"/>
          </w:tcPr>
          <w:p w:rsidR="00862CF4" w:rsidRDefault="00862CF4" w:rsidP="0017552B">
            <w:pPr>
              <w:jc w:val="center"/>
            </w:pPr>
            <w:r w:rsidRPr="00B00218">
              <w:t>25</w:t>
            </w:r>
          </w:p>
        </w:tc>
        <w:tc>
          <w:tcPr>
            <w:tcW w:w="1140" w:type="dxa"/>
          </w:tcPr>
          <w:p w:rsidR="00862CF4" w:rsidRDefault="00862CF4" w:rsidP="0017552B">
            <w:pPr>
              <w:jc w:val="center"/>
            </w:pPr>
            <w:r w:rsidRPr="00B00218">
              <w:t>25</w:t>
            </w:r>
          </w:p>
        </w:tc>
      </w:tr>
      <w:tr w:rsidR="00862CF4" w:rsidTr="00E65CE3">
        <w:trPr>
          <w:gridAfter w:val="1"/>
          <w:wAfter w:w="9402" w:type="dxa"/>
          <w:trHeight w:val="570"/>
        </w:trPr>
        <w:tc>
          <w:tcPr>
            <w:tcW w:w="2448" w:type="dxa"/>
          </w:tcPr>
          <w:p w:rsidR="00862CF4" w:rsidRDefault="00862CF4" w:rsidP="003461AB">
            <w:pPr>
              <w:ind w:left="198" w:right="-81" w:hanging="180"/>
            </w:pPr>
            <w:r w:rsidRPr="00B00218">
              <w:t>Class V Injection Wells</w:t>
            </w:r>
            <w:r w:rsidRPr="00B00218">
              <w:rPr>
                <w:vertAlign w:val="superscript"/>
              </w:rPr>
              <w:t>7</w:t>
            </w:r>
          </w:p>
        </w:tc>
        <w:tc>
          <w:tcPr>
            <w:tcW w:w="1197" w:type="dxa"/>
          </w:tcPr>
          <w:p w:rsidR="00862CF4" w:rsidRDefault="00862CF4" w:rsidP="0017552B">
            <w:pPr>
              <w:ind w:right="161"/>
              <w:jc w:val="center"/>
            </w:pPr>
            <w:r w:rsidRPr="00B00218">
              <w:t>200</w:t>
            </w:r>
            <w:r w:rsidRPr="00B00218">
              <w:rPr>
                <w:vertAlign w:val="superscript"/>
              </w:rPr>
              <w:t>8</w:t>
            </w:r>
          </w:p>
        </w:tc>
        <w:tc>
          <w:tcPr>
            <w:tcW w:w="1070" w:type="dxa"/>
          </w:tcPr>
          <w:p w:rsidR="00862CF4" w:rsidRDefault="00862CF4" w:rsidP="0017552B">
            <w:pPr>
              <w:jc w:val="center"/>
            </w:pPr>
            <w:r w:rsidRPr="00B00218">
              <w:t>25</w:t>
            </w:r>
          </w:p>
        </w:tc>
        <w:tc>
          <w:tcPr>
            <w:tcW w:w="1360" w:type="dxa"/>
          </w:tcPr>
          <w:p w:rsidR="00862CF4" w:rsidRDefault="00862CF4" w:rsidP="0017552B">
            <w:pPr>
              <w:jc w:val="center"/>
            </w:pPr>
            <w:r w:rsidRPr="00B00218">
              <w:t>25</w:t>
            </w:r>
          </w:p>
        </w:tc>
        <w:tc>
          <w:tcPr>
            <w:tcW w:w="1116" w:type="dxa"/>
          </w:tcPr>
          <w:p w:rsidR="00862CF4" w:rsidRDefault="00862CF4" w:rsidP="0017552B">
            <w:pPr>
              <w:jc w:val="center"/>
            </w:pPr>
            <w:r w:rsidRPr="00B00218">
              <w:t>10</w:t>
            </w:r>
          </w:p>
        </w:tc>
        <w:tc>
          <w:tcPr>
            <w:tcW w:w="1071" w:type="dxa"/>
          </w:tcPr>
          <w:p w:rsidR="00862CF4" w:rsidRDefault="00862CF4" w:rsidP="0017552B">
            <w:pPr>
              <w:jc w:val="center"/>
            </w:pPr>
            <w:r w:rsidRPr="00B00218">
              <w:t>5</w:t>
            </w:r>
          </w:p>
        </w:tc>
        <w:tc>
          <w:tcPr>
            <w:tcW w:w="1140" w:type="dxa"/>
          </w:tcPr>
          <w:p w:rsidR="00862CF4" w:rsidRDefault="00862CF4" w:rsidP="0017552B">
            <w:pPr>
              <w:jc w:val="center"/>
            </w:pPr>
            <w:r w:rsidRPr="00B00218">
              <w:t>10</w:t>
            </w:r>
          </w:p>
        </w:tc>
      </w:tr>
      <w:tr w:rsidR="00E65CE3" w:rsidTr="00E65CE3">
        <w:trPr>
          <w:trHeight w:val="1425"/>
        </w:trPr>
        <w:tc>
          <w:tcPr>
            <w:tcW w:w="9402" w:type="dxa"/>
            <w:gridSpan w:val="7"/>
            <w:vAlign w:val="bottom"/>
          </w:tcPr>
          <w:tbl>
            <w:tblPr>
              <w:tblW w:w="18804" w:type="dxa"/>
              <w:tblLayout w:type="fixed"/>
              <w:tblLook w:val="0000" w:firstRow="0" w:lastRow="0" w:firstColumn="0" w:lastColumn="0" w:noHBand="0" w:noVBand="0"/>
            </w:tblPr>
            <w:tblGrid>
              <w:gridCol w:w="18804"/>
            </w:tblGrid>
            <w:tr w:rsidR="00E65CE3" w:rsidTr="00B60191">
              <w:trPr>
                <w:trHeight w:val="1425"/>
              </w:trPr>
              <w:tc>
                <w:tcPr>
                  <w:tcW w:w="9402" w:type="dxa"/>
                  <w:vAlign w:val="bottom"/>
                </w:tcPr>
                <w:p w:rsidR="00E65CE3" w:rsidRDefault="00E65CE3" w:rsidP="00E65CE3">
                  <w:pPr>
                    <w:ind w:left="198" w:hanging="216"/>
                  </w:pPr>
                  <w:r>
                    <w:rPr>
                      <w:vertAlign w:val="superscript"/>
                    </w:rPr>
                    <w:t>1</w:t>
                  </w:r>
                  <w:r>
                    <w:rPr>
                      <w:vertAlign w:val="superscript"/>
                    </w:rPr>
                    <w:tab/>
                  </w:r>
                  <w:r>
                    <w:t>These distances have been determined for use in clay, silt and loam soils only. The minimum distances required for use in sand or other types of soil shall be determined for the proposed private sewage disposal system and approved by the Department. Approval will be given if the Department determines that the soil will provide treatment of the sewage.</w:t>
                  </w:r>
                </w:p>
              </w:tc>
            </w:tr>
            <w:tr w:rsidR="00E65CE3" w:rsidTr="00B60191">
              <w:tc>
                <w:tcPr>
                  <w:tcW w:w="9402" w:type="dxa"/>
                </w:tcPr>
                <w:p w:rsidR="00E65CE3" w:rsidRDefault="00E65CE3" w:rsidP="00E65CE3">
                  <w:pPr>
                    <w:ind w:left="198" w:hanging="225"/>
                  </w:pPr>
                  <w:r>
                    <w:rPr>
                      <w:vertAlign w:val="superscript"/>
                    </w:rPr>
                    <w:t>2</w:t>
                  </w:r>
                  <w:r>
                    <w:rPr>
                      <w:vertAlign w:val="superscript"/>
                    </w:rPr>
                    <w:tab/>
                  </w:r>
                  <w:r>
                    <w:t>For separation distances to closed loop wells, see 77 Ill. Adm. Code 920.180.</w:t>
                  </w:r>
                </w:p>
              </w:tc>
            </w:tr>
            <w:tr w:rsidR="00E65CE3" w:rsidTr="00B60191">
              <w:tc>
                <w:tcPr>
                  <w:tcW w:w="9402" w:type="dxa"/>
                </w:tcPr>
                <w:p w:rsidR="00E65CE3" w:rsidRDefault="00E65CE3" w:rsidP="00E65CE3">
                  <w:pPr>
                    <w:ind w:left="198" w:hanging="198"/>
                    <w:jc w:val="both"/>
                  </w:pPr>
                  <w:r w:rsidRPr="00102120">
                    <w:rPr>
                      <w:vertAlign w:val="superscript"/>
                    </w:rPr>
                    <w:t>3</w:t>
                  </w:r>
                  <w:r>
                    <w:rPr>
                      <w:vertAlign w:val="superscript"/>
                    </w:rPr>
                    <w:tab/>
                  </w:r>
                  <w:r>
                    <w:t>See Section 905.20(d) for additional details on water line and sewer separation.</w:t>
                  </w:r>
                </w:p>
              </w:tc>
            </w:tr>
            <w:tr w:rsidR="00E65CE3" w:rsidRPr="00916F59" w:rsidTr="00B60191">
              <w:tc>
                <w:tcPr>
                  <w:tcW w:w="9402" w:type="dxa"/>
                </w:tcPr>
                <w:p w:rsidR="00E65CE3" w:rsidRPr="00916F59" w:rsidRDefault="00E65CE3" w:rsidP="00E65CE3">
                  <w:pPr>
                    <w:ind w:left="198" w:hanging="198"/>
                    <w:jc w:val="both"/>
                  </w:pPr>
                  <w:r>
                    <w:rPr>
                      <w:vertAlign w:val="superscript"/>
                    </w:rPr>
                    <w:t>4</w:t>
                  </w:r>
                  <w:r>
                    <w:t xml:space="preserve">  If a common property is used, the boundary of the common property shall be used.</w:t>
                  </w:r>
                </w:p>
              </w:tc>
            </w:tr>
            <w:tr w:rsidR="00E65CE3" w:rsidRPr="00916F59" w:rsidTr="00B60191">
              <w:tc>
                <w:tcPr>
                  <w:tcW w:w="9402" w:type="dxa"/>
                </w:tcPr>
                <w:p w:rsidR="00E65CE3" w:rsidRPr="00916F59" w:rsidRDefault="00E65CE3" w:rsidP="00E65CE3">
                  <w:pPr>
                    <w:ind w:left="180" w:hanging="198"/>
                    <w:jc w:val="both"/>
                  </w:pPr>
                  <w:r>
                    <w:rPr>
                      <w:vertAlign w:val="superscript"/>
                    </w:rPr>
                    <w:t xml:space="preserve">5  </w:t>
                  </w:r>
                  <w:r>
                    <w:t xml:space="preserve">The building sewer or surface discharge effluent line may be located to within 10 feet of a well or suction line from the pump to the well when cast iron pipe with mechanical joints or </w:t>
                  </w:r>
                  <w:r>
                    <w:lastRenderedPageBreak/>
                    <w:t>Schedule 40 PVC pipe with watertight joints is used for the building sewer or surface discharge effluent line.</w:t>
                  </w:r>
                </w:p>
              </w:tc>
            </w:tr>
            <w:tr w:rsidR="00E65CE3" w:rsidRPr="00916F59" w:rsidTr="00B60191">
              <w:tc>
                <w:tcPr>
                  <w:tcW w:w="9402" w:type="dxa"/>
                </w:tcPr>
                <w:p w:rsidR="00E65CE3" w:rsidRPr="00916F59" w:rsidRDefault="00E65CE3" w:rsidP="00E65CE3">
                  <w:pPr>
                    <w:ind w:left="180" w:hanging="198"/>
                    <w:jc w:val="both"/>
                  </w:pPr>
                  <w:r>
                    <w:rPr>
                      <w:vertAlign w:val="superscript"/>
                    </w:rPr>
                    <w:lastRenderedPageBreak/>
                    <w:t xml:space="preserve">6  </w:t>
                  </w:r>
                  <w:r>
                    <w:t>Any surface discharging system installed, repaired or renovated after January 1, 2014.</w:t>
                  </w:r>
                </w:p>
              </w:tc>
            </w:tr>
            <w:tr w:rsidR="00E65CE3" w:rsidRPr="00916F59" w:rsidTr="00B60191">
              <w:tc>
                <w:tcPr>
                  <w:tcW w:w="9402" w:type="dxa"/>
                </w:tcPr>
                <w:p w:rsidR="00E65CE3" w:rsidRPr="00916F59" w:rsidRDefault="00E65CE3" w:rsidP="00E65CE3">
                  <w:pPr>
                    <w:ind w:left="180" w:hanging="198"/>
                    <w:jc w:val="both"/>
                  </w:pPr>
                  <w:r>
                    <w:rPr>
                      <w:vertAlign w:val="superscript"/>
                    </w:rPr>
                    <w:t xml:space="preserve">7  </w:t>
                  </w:r>
                  <w:r>
                    <w:t>Class V Injection Wells are defined in Illinois Pollution Control Board rules.  They are typically a shallow well used to place fluids directly below the land surface.  See, e.g., 35 Ill. Adm. Code 704.105. 704.106 and 704.280.</w:t>
                  </w:r>
                </w:p>
              </w:tc>
            </w:tr>
            <w:tr w:rsidR="00E65CE3" w:rsidRPr="008B47E9" w:rsidTr="00B60191">
              <w:tc>
                <w:tcPr>
                  <w:tcW w:w="9402" w:type="dxa"/>
                </w:tcPr>
                <w:p w:rsidR="00E65CE3" w:rsidRPr="008B47E9" w:rsidRDefault="00E65CE3" w:rsidP="00E65CE3">
                  <w:pPr>
                    <w:ind w:left="180" w:hanging="198"/>
                    <w:jc w:val="both"/>
                  </w:pPr>
                  <w:r>
                    <w:rPr>
                      <w:vertAlign w:val="superscript"/>
                    </w:rPr>
                    <w:t xml:space="preserve">8  </w:t>
                  </w:r>
                  <w:r>
                    <w:t>A lesser separation distance may be obtained with approval or a waiver from IEPA.</w:t>
                  </w:r>
                </w:p>
              </w:tc>
            </w:tr>
            <w:tr w:rsidR="00E65CE3" w:rsidRPr="008B47E9" w:rsidTr="00B60191">
              <w:tc>
                <w:tcPr>
                  <w:tcW w:w="9402" w:type="dxa"/>
                </w:tcPr>
                <w:p w:rsidR="00E65CE3" w:rsidRPr="008B47E9" w:rsidRDefault="00E65CE3" w:rsidP="00E65CE3">
                  <w:pPr>
                    <w:ind w:left="180" w:hanging="198"/>
                    <w:jc w:val="both"/>
                  </w:pPr>
                  <w:r>
                    <w:rPr>
                      <w:vertAlign w:val="superscript"/>
                    </w:rPr>
                    <w:t>9</w:t>
                  </w:r>
                  <w:r>
                    <w:t>There shall be 25 feet separation from public water supply water mains and water service lines.  The terms public water supply, water main and water service line shall have the same meaning as in the Illinois Pollution Control Board's Public Water Supplies rules.  See, e.g., 35 Ill. Adm. Code 653.118 and 653.119.</w:t>
                  </w:r>
                </w:p>
              </w:tc>
            </w:tr>
          </w:tbl>
          <w:p w:rsidR="00E65CE3" w:rsidRDefault="00E65CE3" w:rsidP="003461AB">
            <w:pPr>
              <w:ind w:left="198" w:hanging="216"/>
            </w:pPr>
          </w:p>
        </w:tc>
        <w:tc>
          <w:tcPr>
            <w:tcW w:w="9402" w:type="dxa"/>
          </w:tcPr>
          <w:p w:rsidR="00E65CE3" w:rsidRDefault="00E65CE3" w:rsidP="00E65CE3">
            <w:pPr>
              <w:ind w:left="198" w:hanging="216"/>
              <w:rPr>
                <w:vertAlign w:val="superscript"/>
              </w:rPr>
            </w:pPr>
          </w:p>
        </w:tc>
      </w:tr>
    </w:tbl>
    <w:p w:rsidR="0004464D" w:rsidRDefault="0004464D">
      <w:pPr>
        <w:pStyle w:val="JCARSourceNote"/>
        <w:ind w:left="720"/>
      </w:pPr>
    </w:p>
    <w:p w:rsidR="00862CF4" w:rsidRPr="00D55B37" w:rsidRDefault="00862CF4">
      <w:pPr>
        <w:pStyle w:val="JCARSourceNote"/>
        <w:ind w:left="720"/>
      </w:pPr>
      <w:r w:rsidRPr="00D55B37">
        <w:t xml:space="preserve">(Source:  </w:t>
      </w:r>
      <w:r>
        <w:t>Amended</w:t>
      </w:r>
      <w:r w:rsidRPr="00D55B37">
        <w:t xml:space="preserve"> at </w:t>
      </w:r>
      <w:r w:rsidR="00365BAD">
        <w:t>37</w:t>
      </w:r>
      <w:r>
        <w:t xml:space="preserve"> I</w:t>
      </w:r>
      <w:r w:rsidRPr="00D55B37">
        <w:t xml:space="preserve">ll. Reg. </w:t>
      </w:r>
      <w:r w:rsidR="00747A7E">
        <w:t>14994</w:t>
      </w:r>
      <w:r w:rsidRPr="00D55B37">
        <w:t xml:space="preserve">, effective </w:t>
      </w:r>
      <w:bookmarkStart w:id="0" w:name="_GoBack"/>
      <w:r w:rsidR="00747A7E">
        <w:t>August 28, 2013</w:t>
      </w:r>
      <w:bookmarkEnd w:id="0"/>
      <w:r w:rsidRPr="00D55B37">
        <w:t>)</w:t>
      </w:r>
    </w:p>
    <w:sectPr w:rsidR="00862CF4" w:rsidRPr="00D55B37"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AB" w:rsidRDefault="003461AB">
      <w:r>
        <w:separator/>
      </w:r>
    </w:p>
  </w:endnote>
  <w:endnote w:type="continuationSeparator" w:id="0">
    <w:p w:rsidR="003461AB" w:rsidRDefault="0034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AB" w:rsidRDefault="003461AB">
      <w:r>
        <w:separator/>
      </w:r>
    </w:p>
  </w:footnote>
  <w:footnote w:type="continuationSeparator" w:id="0">
    <w:p w:rsidR="003461AB" w:rsidRDefault="00346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0C9C"/>
    <w:rsid w:val="0004464D"/>
    <w:rsid w:val="000D225F"/>
    <w:rsid w:val="00102A52"/>
    <w:rsid w:val="0017552B"/>
    <w:rsid w:val="001C396B"/>
    <w:rsid w:val="001C7D95"/>
    <w:rsid w:val="001E3074"/>
    <w:rsid w:val="00225354"/>
    <w:rsid w:val="002467F4"/>
    <w:rsid w:val="002524EC"/>
    <w:rsid w:val="00261FE4"/>
    <w:rsid w:val="002A643F"/>
    <w:rsid w:val="00330F62"/>
    <w:rsid w:val="00337CEB"/>
    <w:rsid w:val="003461AB"/>
    <w:rsid w:val="00365BAD"/>
    <w:rsid w:val="00367A2E"/>
    <w:rsid w:val="003F3A28"/>
    <w:rsid w:val="003F5FD7"/>
    <w:rsid w:val="00431CFE"/>
    <w:rsid w:val="00476AA1"/>
    <w:rsid w:val="004D73D3"/>
    <w:rsid w:val="005001C5"/>
    <w:rsid w:val="0052308E"/>
    <w:rsid w:val="00530BE1"/>
    <w:rsid w:val="00542E97"/>
    <w:rsid w:val="0056157E"/>
    <w:rsid w:val="0056501E"/>
    <w:rsid w:val="005655DF"/>
    <w:rsid w:val="00614658"/>
    <w:rsid w:val="006231A3"/>
    <w:rsid w:val="006264F8"/>
    <w:rsid w:val="00627E5A"/>
    <w:rsid w:val="006775F1"/>
    <w:rsid w:val="006A2114"/>
    <w:rsid w:val="00747A7E"/>
    <w:rsid w:val="00780733"/>
    <w:rsid w:val="008271B1"/>
    <w:rsid w:val="00837F88"/>
    <w:rsid w:val="0084781C"/>
    <w:rsid w:val="00862CF4"/>
    <w:rsid w:val="008B47E9"/>
    <w:rsid w:val="008E13BC"/>
    <w:rsid w:val="00910501"/>
    <w:rsid w:val="00916F59"/>
    <w:rsid w:val="00935A8C"/>
    <w:rsid w:val="0098276C"/>
    <w:rsid w:val="00A2265D"/>
    <w:rsid w:val="00A600AA"/>
    <w:rsid w:val="00A97C29"/>
    <w:rsid w:val="00AE5547"/>
    <w:rsid w:val="00AF33C4"/>
    <w:rsid w:val="00B35D67"/>
    <w:rsid w:val="00B516F7"/>
    <w:rsid w:val="00B71177"/>
    <w:rsid w:val="00C4537A"/>
    <w:rsid w:val="00CC13F9"/>
    <w:rsid w:val="00CD3723"/>
    <w:rsid w:val="00D55B37"/>
    <w:rsid w:val="00D93C67"/>
    <w:rsid w:val="00DA27DC"/>
    <w:rsid w:val="00E65CE3"/>
    <w:rsid w:val="00E7288E"/>
    <w:rsid w:val="00EB424E"/>
    <w:rsid w:val="00F43589"/>
    <w:rsid w:val="00F43DEE"/>
    <w:rsid w:val="00F92B9A"/>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B23F6869-1B38-4D98-9B59-DC470B2E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3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Sabo, Cheryl E.</cp:lastModifiedBy>
  <cp:revision>7</cp:revision>
  <dcterms:created xsi:type="dcterms:W3CDTF">2013-08-12T18:52:00Z</dcterms:created>
  <dcterms:modified xsi:type="dcterms:W3CDTF">2013-09-06T20:37:00Z</dcterms:modified>
</cp:coreProperties>
</file>