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9" w:rsidRDefault="002A4539" w:rsidP="002A4539">
      <w:pPr>
        <w:widowControl w:val="0"/>
        <w:autoSpaceDE w:val="0"/>
        <w:autoSpaceDN w:val="0"/>
        <w:adjustRightInd w:val="0"/>
      </w:pPr>
    </w:p>
    <w:p w:rsidR="002A4539" w:rsidRDefault="002A4539" w:rsidP="002A45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890.1020  Material and Size</w:t>
      </w:r>
      <w:r>
        <w:t xml:space="preserve"> </w:t>
      </w:r>
    </w:p>
    <w:p w:rsidR="002A4539" w:rsidRDefault="002A4539" w:rsidP="002A4539">
      <w:pPr>
        <w:widowControl w:val="0"/>
        <w:autoSpaceDE w:val="0"/>
        <w:autoSpaceDN w:val="0"/>
        <w:adjustRightInd w:val="0"/>
      </w:pPr>
    </w:p>
    <w:p w:rsidR="002A4539" w:rsidRDefault="002A4539" w:rsidP="002A4539">
      <w:pPr>
        <w:widowControl w:val="0"/>
        <w:autoSpaceDE w:val="0"/>
        <w:autoSpaceDN w:val="0"/>
        <w:adjustRightInd w:val="0"/>
      </w:pPr>
      <w:r>
        <w:t>Indirect waste pipe sizes shall be the same as the fixture outlets, but at least three-fourths (</w:t>
      </w:r>
      <w:r w:rsidRPr="002D2C37">
        <w:rPr>
          <w:vertAlign w:val="superscript"/>
        </w:rPr>
        <w:t>3</w:t>
      </w:r>
      <w:r>
        <w:t>/</w:t>
      </w:r>
      <w:r w:rsidRPr="002D2C37">
        <w:rPr>
          <w:vertAlign w:val="subscript"/>
        </w:rPr>
        <w:t>4</w:t>
      </w:r>
      <w:r>
        <w:t xml:space="preserve">) inch. </w:t>
      </w:r>
      <w:bookmarkStart w:id="0" w:name="_GoBack"/>
      <w:bookmarkEnd w:id="0"/>
    </w:p>
    <w:sectPr w:rsidR="002A4539" w:rsidSect="002A4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539"/>
    <w:rsid w:val="002A4539"/>
    <w:rsid w:val="002D2C37"/>
    <w:rsid w:val="005C3366"/>
    <w:rsid w:val="00681197"/>
    <w:rsid w:val="007F22C7"/>
    <w:rsid w:val="00D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46C12B-8006-49A4-B544-18AEA20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2012-06-22T01:37:00Z</dcterms:created>
  <dcterms:modified xsi:type="dcterms:W3CDTF">2015-07-29T17:11:00Z</dcterms:modified>
</cp:coreProperties>
</file>