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41" w:rsidRDefault="001A0941" w:rsidP="001A0941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840.310  Methods of Reporting Occupational Disease</w:t>
      </w:r>
      <w:r>
        <w:t xml:space="preserve"> </w:t>
      </w:r>
    </w:p>
    <w:p w:rsidR="001A0941" w:rsidRDefault="001A0941" w:rsidP="001A0941">
      <w:pPr>
        <w:widowControl w:val="0"/>
        <w:autoSpaceDE w:val="0"/>
        <w:autoSpaceDN w:val="0"/>
        <w:adjustRightInd w:val="0"/>
      </w:pPr>
    </w:p>
    <w:p w:rsidR="009F4081" w:rsidRDefault="001A0941" w:rsidP="001A09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registered, permitted</w:t>
      </w:r>
      <w:r w:rsidR="00F53AA5">
        <w:t>,</w:t>
      </w:r>
      <w:r>
        <w:t xml:space="preserve"> or licensed hospital laboratories, clinical laboratories, local health authorities or other facilities shall provide the Department with information on elevated blood lead level cases within </w:t>
      </w:r>
      <w:r w:rsidR="00F53AA5">
        <w:t>seven</w:t>
      </w:r>
      <w:r>
        <w:t xml:space="preserve"> business days </w:t>
      </w:r>
      <w:r w:rsidR="00F53AA5">
        <w:t>after</w:t>
      </w:r>
      <w:r>
        <w:t xml:space="preserve"> receipt of </w:t>
      </w:r>
      <w:r w:rsidR="00F53AA5">
        <w:t xml:space="preserve">the </w:t>
      </w:r>
      <w:r>
        <w:t xml:space="preserve">results.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F53AA5" w:rsidRPr="0069590A" w:rsidRDefault="00F53AA5" w:rsidP="00F53AA5">
      <w:pPr>
        <w:ind w:left="1440" w:hanging="720"/>
      </w:pPr>
      <w:r w:rsidRPr="0069590A">
        <w:t>b)</w:t>
      </w:r>
      <w:r>
        <w:tab/>
      </w:r>
      <w:r w:rsidR="00343B73">
        <w:t>Health care providers'</w:t>
      </w:r>
      <w:r w:rsidRPr="0069590A">
        <w:t xml:space="preserve"> offices shall provide the Department with information on elevated blood lead level cases upon request of the Department or local health department.</w:t>
      </w:r>
    </w:p>
    <w:p w:rsidR="00F53AA5" w:rsidRPr="0069590A" w:rsidRDefault="00F53AA5" w:rsidP="00F53AA5"/>
    <w:p w:rsidR="001A0941" w:rsidRDefault="00F53AA5" w:rsidP="001A09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1A0941">
        <w:tab/>
        <w:t xml:space="preserve">Any person, clinical or hospital laboratory, hospital, or other facility required to report to the Department the occupational diseases </w:t>
      </w:r>
      <w:r>
        <w:t xml:space="preserve">specified in this Section, </w:t>
      </w:r>
      <w:r w:rsidR="001A0941">
        <w:t xml:space="preserve">shall use the following terminology </w:t>
      </w:r>
      <w:r>
        <w:t>to indicate</w:t>
      </w:r>
      <w:r w:rsidR="001A0941">
        <w:t xml:space="preserve"> a reportable occupational disease: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Probable;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Consistent with;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Compatible with;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9F4081" w:rsidRDefault="001A0941" w:rsidP="009F408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Suspected;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9F4081" w:rsidRDefault="001A0941" w:rsidP="009F408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Extension or invasion </w:t>
      </w:r>
      <w:r w:rsidR="00F53AA5">
        <w:t>"</w:t>
      </w:r>
      <w:r w:rsidR="00F53AA5" w:rsidRPr="00A14C53">
        <w:t>to</w:t>
      </w:r>
      <w:r w:rsidR="00F53AA5">
        <w:t>"</w:t>
      </w:r>
      <w:r w:rsidR="00636F7B">
        <w:t>,</w:t>
      </w:r>
      <w:r w:rsidR="00F53AA5" w:rsidRPr="00A14C53">
        <w:t xml:space="preserve"> </w:t>
      </w:r>
      <w:r w:rsidR="00F53AA5">
        <w:t>"</w:t>
      </w:r>
      <w:r w:rsidR="00F53AA5" w:rsidRPr="00A14C53">
        <w:t>onto</w:t>
      </w:r>
      <w:r w:rsidR="00636F7B">
        <w:t>"</w:t>
      </w:r>
      <w:r w:rsidR="00F53AA5" w:rsidRPr="00A14C53">
        <w:t xml:space="preserve">, </w:t>
      </w:r>
      <w:r w:rsidR="00F53AA5">
        <w:t>"</w:t>
      </w:r>
      <w:r w:rsidR="00F53AA5" w:rsidRPr="00A14C53">
        <w:t>into</w:t>
      </w:r>
      <w:r w:rsidR="00F53AA5">
        <w:t>"</w:t>
      </w:r>
      <w:r w:rsidR="00636F7B">
        <w:t>,</w:t>
      </w:r>
      <w:r w:rsidR="00F53AA5" w:rsidRPr="00A14C53">
        <w:t xml:space="preserve"> </w:t>
      </w:r>
      <w:r w:rsidR="00F53AA5">
        <w:t>"</w:t>
      </w:r>
      <w:r w:rsidR="00F53AA5" w:rsidRPr="00A14C53">
        <w:t>out onto</w:t>
      </w:r>
      <w:r w:rsidR="00F53AA5">
        <w:t>"</w:t>
      </w:r>
      <w:r w:rsidR="00636F7B">
        <w:t>.</w:t>
      </w:r>
      <w:r>
        <w:t xml:space="preserve">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F53AA5" w:rsidP="001A094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1A0941">
        <w:tab/>
        <w:t xml:space="preserve">If the following terminology </w:t>
      </w:r>
      <w:r>
        <w:t>would be</w:t>
      </w:r>
      <w:r w:rsidR="001A0941">
        <w:t xml:space="preserve"> used to report </w:t>
      </w:r>
      <w:r w:rsidR="00636F7B">
        <w:t xml:space="preserve">an </w:t>
      </w:r>
      <w:r w:rsidR="001A0941">
        <w:t xml:space="preserve">occupational disease specified by the Department to be collected and submitted, </w:t>
      </w:r>
      <w:r>
        <w:t>the disease</w:t>
      </w:r>
      <w:r w:rsidR="001A0941">
        <w:t xml:space="preserve"> shall be interpreted as not </w:t>
      </w:r>
      <w:r>
        <w:t xml:space="preserve">being </w:t>
      </w:r>
      <w:r w:rsidR="001A0941">
        <w:t xml:space="preserve">necessary for reporting to the Department: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Questionable;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Possible;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Suggests;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Equivocal;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Rule out;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9F4081" w:rsidRDefault="001A0941" w:rsidP="009F408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Very close to;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9F4081" w:rsidRDefault="001A0941" w:rsidP="009F408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Worrisome.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9F4081" w:rsidRDefault="00F53AA5" w:rsidP="001A094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1A0941">
        <w:tab/>
        <w:t xml:space="preserve">Determination of whether a given condition is reportable shall be made by the use of the International Classification of Diseases </w:t>
      </w:r>
      <w:r w:rsidR="009F4081">
        <w:t xml:space="preserve">– </w:t>
      </w:r>
      <w:r w:rsidR="004E3C0B">
        <w:t>10</w:t>
      </w:r>
      <w:r w:rsidR="004E3C0B">
        <w:rPr>
          <w:vertAlign w:val="superscript"/>
        </w:rPr>
        <w:t>th</w:t>
      </w:r>
      <w:r w:rsidR="001A0941">
        <w:t xml:space="preserve"> Revision </w:t>
      </w:r>
      <w:r w:rsidR="009F4081">
        <w:t xml:space="preserve">– </w:t>
      </w:r>
      <w:r w:rsidR="001A0941">
        <w:t xml:space="preserve">Clinical </w:t>
      </w:r>
      <w:r w:rsidR="001A0941">
        <w:lastRenderedPageBreak/>
        <w:t>Modification (ICD-</w:t>
      </w:r>
      <w:r w:rsidR="004E3C0B">
        <w:t>10</w:t>
      </w:r>
      <w:r w:rsidR="001A0941">
        <w:t xml:space="preserve">-CM) codes.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F53AA5" w:rsidP="001A094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1A0941">
        <w:tab/>
        <w:t xml:space="preserve">The specified </w:t>
      </w:r>
      <w:r>
        <w:t>diagnoses</w:t>
      </w:r>
      <w:r w:rsidR="001A0941">
        <w:t xml:space="preserve"> of occupationally related diseases </w:t>
      </w:r>
      <w:r>
        <w:t>that</w:t>
      </w:r>
      <w:r w:rsidR="001A0941">
        <w:t xml:space="preserve"> shall be collected from existing </w:t>
      </w:r>
      <w:r>
        <w:t>IDPH databases</w:t>
      </w:r>
      <w:r w:rsidR="001A0941">
        <w:t xml:space="preserve">: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Asbestosis, </w:t>
      </w:r>
      <w:r w:rsidR="004E3C0B">
        <w:t>ICD-10-CM code J61</w:t>
      </w:r>
      <w:r>
        <w:t xml:space="preserve">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1A0941" w:rsidP="001A09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Coal Worker's Pneumoconiosis, </w:t>
      </w:r>
      <w:r w:rsidR="004E3C0B">
        <w:t>ICD-10-CM code J60</w:t>
      </w:r>
      <w:r>
        <w:t xml:space="preserve">;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9F4081" w:rsidRDefault="001A0941" w:rsidP="009F40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Lead Poisoning - (Elevated Blood Lead Level), </w:t>
      </w:r>
      <w:r w:rsidR="004E3C0B">
        <w:t>ICD-10-CM code T56.0X</w:t>
      </w:r>
      <w:r>
        <w:t xml:space="preserve">; and 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9F4081" w:rsidRDefault="001A0941" w:rsidP="009F408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Silicosis, </w:t>
      </w:r>
      <w:r w:rsidR="004E3C0B">
        <w:t>ICD-10-CM code J62</w:t>
      </w:r>
      <w:r>
        <w:t>.</w:t>
      </w:r>
    </w:p>
    <w:p w:rsidR="003C5027" w:rsidRDefault="003C5027" w:rsidP="009D3A68">
      <w:pPr>
        <w:widowControl w:val="0"/>
        <w:autoSpaceDE w:val="0"/>
        <w:autoSpaceDN w:val="0"/>
        <w:adjustRightInd w:val="0"/>
      </w:pPr>
    </w:p>
    <w:p w:rsidR="001A0941" w:rsidRDefault="00F53AA5" w:rsidP="001A094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1A0941">
        <w:tab/>
        <w:t xml:space="preserve">All existing </w:t>
      </w:r>
      <w:r>
        <w:t>ID</w:t>
      </w:r>
      <w:r w:rsidR="00A335DA">
        <w:t>P</w:t>
      </w:r>
      <w:r>
        <w:t>H databases will</w:t>
      </w:r>
      <w:r w:rsidR="001A0941">
        <w:t xml:space="preserve"> use </w:t>
      </w:r>
      <w:r>
        <w:t>the</w:t>
      </w:r>
      <w:r w:rsidR="001A0941">
        <w:t xml:space="preserve"> </w:t>
      </w:r>
      <w:r w:rsidR="004E3C0B">
        <w:t>ICD-10-CM</w:t>
      </w:r>
      <w:r w:rsidR="001A0941">
        <w:t xml:space="preserve"> codes </w:t>
      </w:r>
      <w:r>
        <w:t xml:space="preserve">specified in subsection (f) </w:t>
      </w:r>
      <w:r w:rsidR="001A0941">
        <w:t xml:space="preserve">for consistency of data collection. </w:t>
      </w:r>
    </w:p>
    <w:p w:rsidR="001A0941" w:rsidRDefault="001A0941" w:rsidP="009D3A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0941" w:rsidRDefault="004E3C0B" w:rsidP="001A094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91D4A">
        <w:t>6</w:t>
      </w:r>
      <w:r>
        <w:t xml:space="preserve"> Ill. Reg. </w:t>
      </w:r>
      <w:r w:rsidR="00E34199">
        <w:t>2971</w:t>
      </w:r>
      <w:r>
        <w:t xml:space="preserve">, effective </w:t>
      </w:r>
      <w:r w:rsidR="00E34199">
        <w:t>February 1, 2022</w:t>
      </w:r>
      <w:r>
        <w:t>)</w:t>
      </w:r>
    </w:p>
    <w:sectPr w:rsidR="001A0941" w:rsidSect="001A0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941"/>
    <w:rsid w:val="0014620E"/>
    <w:rsid w:val="001A0941"/>
    <w:rsid w:val="00291D4A"/>
    <w:rsid w:val="00343B73"/>
    <w:rsid w:val="00363DB7"/>
    <w:rsid w:val="003C5027"/>
    <w:rsid w:val="004E3C0B"/>
    <w:rsid w:val="005C3366"/>
    <w:rsid w:val="00620A7B"/>
    <w:rsid w:val="00636F7B"/>
    <w:rsid w:val="00710784"/>
    <w:rsid w:val="008577F5"/>
    <w:rsid w:val="009D3A68"/>
    <w:rsid w:val="009F4081"/>
    <w:rsid w:val="00A335DA"/>
    <w:rsid w:val="00E33BEB"/>
    <w:rsid w:val="00E34199"/>
    <w:rsid w:val="00F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0792CF-C761-4714-A3D5-ABFD5BD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4</cp:revision>
  <dcterms:created xsi:type="dcterms:W3CDTF">2021-12-15T19:59:00Z</dcterms:created>
  <dcterms:modified xsi:type="dcterms:W3CDTF">2022-02-22T13:54:00Z</dcterms:modified>
</cp:coreProperties>
</file>