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D8" w:rsidRDefault="002E0ED8" w:rsidP="002E0E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ED8" w:rsidRDefault="002E0ED8" w:rsidP="002E0E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790.160  Prescription Use of Drug Products</w:t>
      </w:r>
      <w:r>
        <w:t xml:space="preserve"> </w:t>
      </w:r>
    </w:p>
    <w:p w:rsidR="002E0ED8" w:rsidRDefault="002E0ED8" w:rsidP="002E0ED8">
      <w:pPr>
        <w:widowControl w:val="0"/>
        <w:autoSpaceDE w:val="0"/>
        <w:autoSpaceDN w:val="0"/>
        <w:adjustRightInd w:val="0"/>
      </w:pPr>
    </w:p>
    <w:p w:rsidR="002E0ED8" w:rsidRDefault="002E0ED8" w:rsidP="002E0ED8">
      <w:pPr>
        <w:widowControl w:val="0"/>
        <w:autoSpaceDE w:val="0"/>
        <w:autoSpaceDN w:val="0"/>
        <w:adjustRightInd w:val="0"/>
      </w:pPr>
      <w:r>
        <w:t xml:space="preserve">Drug products included shall be primarily for prescription use outside of the inpatient institutional setting.  Excluded are nonprescription drugs, diagnostic aids, nutritional supplements and medical devices. </w:t>
      </w:r>
    </w:p>
    <w:p w:rsidR="002E0ED8" w:rsidRDefault="002E0ED8" w:rsidP="002E0ED8">
      <w:pPr>
        <w:widowControl w:val="0"/>
        <w:autoSpaceDE w:val="0"/>
        <w:autoSpaceDN w:val="0"/>
        <w:adjustRightInd w:val="0"/>
      </w:pPr>
    </w:p>
    <w:p w:rsidR="002E0ED8" w:rsidRDefault="002E0ED8" w:rsidP="002E0E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27, p.113, effective Ju1y 1, 1979) </w:t>
      </w:r>
    </w:p>
    <w:sectPr w:rsidR="002E0ED8" w:rsidSect="002E0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ED8"/>
    <w:rsid w:val="002E0ED8"/>
    <w:rsid w:val="005C3366"/>
    <w:rsid w:val="00D76A3F"/>
    <w:rsid w:val="00D944C2"/>
    <w:rsid w:val="00D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