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B2" w:rsidRDefault="005406B2" w:rsidP="005406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06B2" w:rsidRDefault="005406B2" w:rsidP="005406B2">
      <w:pPr>
        <w:widowControl w:val="0"/>
        <w:autoSpaceDE w:val="0"/>
        <w:autoSpaceDN w:val="0"/>
        <w:adjustRightInd w:val="0"/>
      </w:pPr>
      <w:r>
        <w:t xml:space="preserve">AUTHORITY:  Authorized by and implementing the Illinois Food, Drug and Cosmetic Act [410 ILCS 620]. </w:t>
      </w:r>
    </w:p>
    <w:sectPr w:rsidR="005406B2" w:rsidSect="005406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06B2"/>
    <w:rsid w:val="004E346F"/>
    <w:rsid w:val="005406B2"/>
    <w:rsid w:val="005C3366"/>
    <w:rsid w:val="006557AF"/>
    <w:rsid w:val="00E9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and implementing the Illinois Food, Drug and Cosmetic Act [410 ILCS 620]</vt:lpstr>
    </vt:vector>
  </TitlesOfParts>
  <Company>State of Illinois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and implementing the Illinois Food, Drug and Cosmetic Act [410 ILCS 620]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