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3C" w:rsidRDefault="00A06F3C" w:rsidP="00A06F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F3C" w:rsidRDefault="00A06F3C" w:rsidP="00A06F3C">
      <w:pPr>
        <w:widowControl w:val="0"/>
        <w:autoSpaceDE w:val="0"/>
        <w:autoSpaceDN w:val="0"/>
        <w:adjustRightInd w:val="0"/>
      </w:pPr>
      <w:r>
        <w:t xml:space="preserve">AUTHORITY:  Implementing the Illinois Food, Drug and Cosmetic Act [410 ILCS 620] and the Sanitary Food Preparation Act [410 ILCS 650] and authorized by Section 21 of the Illinois Food, Drug and Cosmetic Act [410 ILCS 620/21] and Section 11.1 of the Sanitary Food Preparation Act [410 ILCS 650/11.1]. </w:t>
      </w:r>
    </w:p>
    <w:sectPr w:rsidR="00A06F3C" w:rsidSect="00A06F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F3C"/>
    <w:rsid w:val="002F0464"/>
    <w:rsid w:val="005C3366"/>
    <w:rsid w:val="008138FF"/>
    <w:rsid w:val="00A06F3C"/>
    <w:rsid w:val="00A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Food, Drug and Cosmetic Act [410 ILCS 620] and the Sanitary Food Preparation Act [410 IL</vt:lpstr>
    </vt:vector>
  </TitlesOfParts>
  <Company>General Assembly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Food, Drug and Cosmetic Act [410 ILCS 620] and the Sanitary Food Preparation Act [410 IL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