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09" w:rsidRDefault="00C47C09" w:rsidP="00C47C09">
      <w:pPr>
        <w:widowControl w:val="0"/>
        <w:autoSpaceDE w:val="0"/>
        <w:autoSpaceDN w:val="0"/>
        <w:adjustRightInd w:val="0"/>
      </w:pPr>
      <w:bookmarkStart w:id="0" w:name="_GoBack"/>
      <w:bookmarkEnd w:id="0"/>
    </w:p>
    <w:p w:rsidR="00C47C09" w:rsidRDefault="00C47C09" w:rsidP="00C47C09">
      <w:pPr>
        <w:widowControl w:val="0"/>
        <w:autoSpaceDE w:val="0"/>
        <w:autoSpaceDN w:val="0"/>
        <w:adjustRightInd w:val="0"/>
      </w:pPr>
      <w:r>
        <w:rPr>
          <w:b/>
          <w:bCs/>
        </w:rPr>
        <w:t>Section 725.43  Handling of Non-Human Food, Drug or Medical Device Distressed Articles</w:t>
      </w:r>
      <w:r>
        <w:t xml:space="preserve"> </w:t>
      </w:r>
    </w:p>
    <w:p w:rsidR="00C47C09" w:rsidRDefault="00C47C09" w:rsidP="00C47C09">
      <w:pPr>
        <w:widowControl w:val="0"/>
        <w:autoSpaceDE w:val="0"/>
        <w:autoSpaceDN w:val="0"/>
        <w:adjustRightInd w:val="0"/>
      </w:pPr>
    </w:p>
    <w:p w:rsidR="00C47C09" w:rsidRDefault="00C47C09" w:rsidP="00C47C09">
      <w:pPr>
        <w:widowControl w:val="0"/>
        <w:autoSpaceDE w:val="0"/>
        <w:autoSpaceDN w:val="0"/>
        <w:adjustRightInd w:val="0"/>
      </w:pPr>
      <w:r>
        <w:t xml:space="preserve">If distressed articles other than human food, drugs or medical devices are salvaged, they shall be handled in rooms or solid partitioned areas separate from those in which foods, drugs or medical devices are reconditioned. </w:t>
      </w:r>
    </w:p>
    <w:sectPr w:rsidR="00C47C09" w:rsidSect="00C47C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C09"/>
    <w:rsid w:val="00162F23"/>
    <w:rsid w:val="00355A9F"/>
    <w:rsid w:val="00497ABF"/>
    <w:rsid w:val="005C3366"/>
    <w:rsid w:val="00C4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