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1" w:rsidRDefault="00D513B1" w:rsidP="00D513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3B1" w:rsidRDefault="00D513B1" w:rsidP="00D513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490.310  Location</w:t>
      </w:r>
      <w:r>
        <w:t xml:space="preserve"> </w:t>
      </w:r>
    </w:p>
    <w:p w:rsidR="00D513B1" w:rsidRDefault="00D513B1" w:rsidP="00D513B1">
      <w:pPr>
        <w:widowControl w:val="0"/>
        <w:autoSpaceDE w:val="0"/>
        <w:autoSpaceDN w:val="0"/>
        <w:adjustRightInd w:val="0"/>
      </w:pPr>
    </w:p>
    <w:p w:rsidR="00D513B1" w:rsidRDefault="00D513B1" w:rsidP="00D513B1">
      <w:pPr>
        <w:widowControl w:val="0"/>
        <w:autoSpaceDE w:val="0"/>
        <w:autoSpaceDN w:val="0"/>
        <w:adjustRightInd w:val="0"/>
      </w:pPr>
      <w:r>
        <w:t xml:space="preserve">Before approval, each initial license application and each license application for a change of location shall be accompanied by a letter from the blood bank owner indicating that the owner has checked with a zoning authority having jurisdiction and the zoning authority has found that the blood bank location meets local requirements or will meet local requirements within a time frame acceptable to the zoning authority.  If no zoning authority has jurisdiction, the letter shall state that fact and the license shall state that fact. </w:t>
      </w:r>
    </w:p>
    <w:sectPr w:rsidR="00D513B1" w:rsidSect="00D51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3B1"/>
    <w:rsid w:val="005C3366"/>
    <w:rsid w:val="00CA1EDA"/>
    <w:rsid w:val="00D513B1"/>
    <w:rsid w:val="00D95FDC"/>
    <w:rsid w:val="00E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