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9C" w:rsidRDefault="00DF179C" w:rsidP="00DF17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79C" w:rsidRDefault="00DF179C" w:rsidP="00DF179C">
      <w:pPr>
        <w:widowControl w:val="0"/>
        <w:autoSpaceDE w:val="0"/>
        <w:autoSpaceDN w:val="0"/>
        <w:adjustRightInd w:val="0"/>
      </w:pPr>
      <w:r>
        <w:t>AUTHORITY:  Implementing and authorized by the Illinois Blood Bank Act</w:t>
      </w:r>
      <w:r w:rsidR="006A7F6C">
        <w:t xml:space="preserve"> (Ill. Rev. Stat. 1987, ch. 111½</w:t>
      </w:r>
      <w:r>
        <w:t xml:space="preserve">, pars. 601-101 et seq.). </w:t>
      </w:r>
    </w:p>
    <w:sectPr w:rsidR="00DF179C" w:rsidSect="00DF17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79C"/>
    <w:rsid w:val="00356C09"/>
    <w:rsid w:val="005C3366"/>
    <w:rsid w:val="006A7F6C"/>
    <w:rsid w:val="00A16863"/>
    <w:rsid w:val="00B32298"/>
    <w:rsid w:val="00D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A7F6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A7F6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Blood Bank Act (Ill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Blood Bank Act (Ill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