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D8" w:rsidRDefault="00F76AD8" w:rsidP="00F76A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6AD8" w:rsidRDefault="00F76AD8" w:rsidP="00F76A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450.950  Referral of Specimens for Examination to Unlicensed Laboratories</w:t>
      </w:r>
      <w:r>
        <w:t xml:space="preserve"> </w:t>
      </w:r>
    </w:p>
    <w:p w:rsidR="00F76AD8" w:rsidRDefault="00F76AD8" w:rsidP="00F76AD8">
      <w:pPr>
        <w:widowControl w:val="0"/>
        <w:autoSpaceDE w:val="0"/>
        <w:autoSpaceDN w:val="0"/>
        <w:adjustRightInd w:val="0"/>
      </w:pPr>
    </w:p>
    <w:p w:rsidR="00F76AD8" w:rsidRDefault="00F76AD8" w:rsidP="00F76AD8">
      <w:pPr>
        <w:widowControl w:val="0"/>
        <w:autoSpaceDE w:val="0"/>
        <w:autoSpaceDN w:val="0"/>
        <w:adjustRightInd w:val="0"/>
      </w:pPr>
      <w:r>
        <w:t xml:space="preserve">No clinical laboratory shall refer specimens for examinations to unlicensed laboratories, except that referral of laboratory examinations to the laboratory or blood bank of a hospital licensed under the Hospital Licensing Act is not considered a violation of the Act and this Part. </w:t>
      </w:r>
    </w:p>
    <w:p w:rsidR="00F76AD8" w:rsidRDefault="00F76AD8" w:rsidP="00F76AD8">
      <w:pPr>
        <w:widowControl w:val="0"/>
        <w:autoSpaceDE w:val="0"/>
        <w:autoSpaceDN w:val="0"/>
        <w:adjustRightInd w:val="0"/>
      </w:pPr>
    </w:p>
    <w:p w:rsidR="00F76AD8" w:rsidRDefault="00F76AD8" w:rsidP="00F76A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11573, effective July 1, 1989) </w:t>
      </w:r>
    </w:p>
    <w:sectPr w:rsidR="00F76AD8" w:rsidSect="00F76A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AD8"/>
    <w:rsid w:val="005C3366"/>
    <w:rsid w:val="006E0F81"/>
    <w:rsid w:val="007A5A25"/>
    <w:rsid w:val="00D84994"/>
    <w:rsid w:val="00F7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