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CC" w:rsidRDefault="00170CCC" w:rsidP="00170C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CCC" w:rsidRDefault="00170CCC" w:rsidP="00170CCC">
      <w:pPr>
        <w:widowControl w:val="0"/>
        <w:autoSpaceDE w:val="0"/>
        <w:autoSpaceDN w:val="0"/>
        <w:adjustRightInd w:val="0"/>
        <w:jc w:val="center"/>
      </w:pPr>
      <w:r>
        <w:t>SUBPART L:  DESIGN AND CONSTRUCTION STANDARDS FOR NEW</w:t>
      </w:r>
    </w:p>
    <w:p w:rsidR="00170CCC" w:rsidRDefault="00170CCC" w:rsidP="00170CCC">
      <w:pPr>
        <w:widowControl w:val="0"/>
        <w:autoSpaceDE w:val="0"/>
        <w:autoSpaceDN w:val="0"/>
        <w:adjustRightInd w:val="0"/>
        <w:jc w:val="center"/>
      </w:pPr>
      <w:r>
        <w:t>COMMUNITY LIVING FACILITIES</w:t>
      </w:r>
    </w:p>
    <w:sectPr w:rsidR="00170CCC" w:rsidSect="00170C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CCC"/>
    <w:rsid w:val="000A0F7C"/>
    <w:rsid w:val="00170CCC"/>
    <w:rsid w:val="005C3366"/>
    <w:rsid w:val="00BA5864"/>
    <w:rsid w:val="00C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DESIGN AND CONSTRUCTION STANDARDS FOR NEW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DESIGN AND CONSTRUCTION STANDARDS FOR NEW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