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DC" w:rsidRDefault="006E41DC" w:rsidP="006E41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1DC" w:rsidRDefault="006E41DC" w:rsidP="006E41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250.2490  Plumbing and Other Piping Systems</w:t>
      </w:r>
      <w:r>
        <w:t xml:space="preserve"> </w:t>
      </w:r>
    </w:p>
    <w:p w:rsidR="006E41DC" w:rsidRDefault="006E41DC" w:rsidP="006E41DC">
      <w:pPr>
        <w:widowControl w:val="0"/>
        <w:autoSpaceDE w:val="0"/>
        <w:autoSpaceDN w:val="0"/>
        <w:adjustRightInd w:val="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ab/>
        <w:t>All plumbing systems shall be designed and installed in accordance with the requirements of the Illinois Plumbing Code</w:t>
      </w:r>
      <w:r w:rsidR="00B22F28">
        <w:t>,</w:t>
      </w:r>
      <w:r>
        <w:t xml:space="preserve"> except that the number of waterclosets, urinals, lavatories, bathtubs, showers, drinking fountains</w:t>
      </w:r>
      <w:r w:rsidR="00920618">
        <w:t>,</w:t>
      </w:r>
      <w:r>
        <w:t xml:space="preserve"> and other fixtures shall be as required by this Part and the hospital programs.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Plumbing Fixtures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Plumbing fixtures shall be of nonabsorptive acid-resistant materials.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water supply spout for lavatories and sinks required for filling pitchers</w:t>
      </w:r>
      <w:r w:rsidR="00E33604">
        <w:t xml:space="preserve"> and</w:t>
      </w:r>
      <w:r>
        <w:t xml:space="preserve"> for medical and nursing staff and food handlers</w:t>
      </w:r>
      <w:r w:rsidR="00920618">
        <w:t>' hand-washing</w:t>
      </w:r>
      <w:r>
        <w:t xml:space="preserve">, shall be mounted so that its discharge point </w:t>
      </w:r>
      <w:r w:rsidR="00920618">
        <w:t>has</w:t>
      </w:r>
      <w:r>
        <w:t xml:space="preserve"> a minimum perpendicular distance of 5 inches above the rim of the fixture.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20618">
        <w:t>Hand-washing</w:t>
      </w:r>
      <w:r>
        <w:t xml:space="preserve"> lavatories used by medical and nursing staff and food handlers shall be trimmed with valves </w:t>
      </w:r>
      <w:r w:rsidR="00920618">
        <w:t>that</w:t>
      </w:r>
      <w:r>
        <w:t xml:space="preserve"> can be operated without the use of hands where specifically required in </w:t>
      </w:r>
      <w:r w:rsidR="00920618">
        <w:t>this</w:t>
      </w:r>
      <w:r w:rsidR="00E33604">
        <w:t xml:space="preserve"> Part</w:t>
      </w:r>
      <w:r>
        <w:t xml:space="preserve">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88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When blade handles are used</w:t>
      </w:r>
      <w:r w:rsidR="00920618">
        <w:t>,</w:t>
      </w:r>
      <w:r>
        <w:t xml:space="preserve"> the blade handles shall not ex</w:t>
      </w:r>
      <w:r w:rsidR="00C70682">
        <w:t>ceed 4½</w:t>
      </w:r>
      <w:r>
        <w:t xml:space="preserve"> inches in length, except </w:t>
      </w:r>
      <w:r w:rsidR="00920618">
        <w:t xml:space="preserve">that </w:t>
      </w:r>
      <w:r>
        <w:t xml:space="preserve">the handles on clinical sinks shall not be less than 6 inches in length.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88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920618">
        <w:t>hand-was</w:t>
      </w:r>
      <w:r w:rsidR="00AD78DA">
        <w:t>h</w:t>
      </w:r>
      <w:r w:rsidR="00920618">
        <w:t>ing</w:t>
      </w:r>
      <w:r>
        <w:t xml:space="preserve"> and/or scrub sinks, for </w:t>
      </w:r>
      <w:r w:rsidR="00920618">
        <w:t>operating, emergency treatment, nursery, and delivery</w:t>
      </w:r>
      <w:r>
        <w:t xml:space="preserve"> rooms shall be trimmed with valves </w:t>
      </w:r>
      <w:r w:rsidR="00920618">
        <w:t>that</w:t>
      </w:r>
      <w:r>
        <w:t xml:space="preserve"> are </w:t>
      </w:r>
      <w:r w:rsidR="00E33604">
        <w:t>aseptically</w:t>
      </w:r>
      <w:r>
        <w:t xml:space="preserve"> operated (i.e., knee or foot controls) without the use of hands.  Wrist blades are not acceptable.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Clinical rim flush sinks shall have an integral trap in which the upper portion of a visible trap seal provides a water surface.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Shower bases and tubs shall be provided with nonslip surfaces.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Supply Systems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Systems shall be designed to supply water at sufficient pressure to operate all fixtures and equipment during maximum demand periods.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water service main, branch main, riser and branch to a group of fixtures shall be valved.  Stop valves shall be provided at each fixture.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Flush valves installed on plumbing fixtures shall be of a quiet operating type, equipped with silencers.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920618" w:rsidP="006E41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Bedpan-</w:t>
      </w:r>
      <w:r w:rsidR="006E41DC">
        <w:t xml:space="preserve">flushing devices shall be provided on each patient toilet unless a clinical service sink is centrally located in each nursing unit.  This requirement does not apply to psychiatric units.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Water distribution systems shall be arranged to provide hot water at each hot water outlet at all times.  Hot water at shower, bathing, and </w:t>
      </w:r>
      <w:r w:rsidR="00920618">
        <w:t>hand-washing</w:t>
      </w:r>
      <w:r>
        <w:t xml:space="preserve"> facilities shall not exceed 110</w:t>
      </w:r>
      <w:r w:rsidR="00C70682">
        <w:t>º</w:t>
      </w:r>
      <w:r>
        <w:t xml:space="preserve"> F (43</w:t>
      </w:r>
      <w:r w:rsidR="00C70682">
        <w:t>º</w:t>
      </w:r>
      <w:r>
        <w:t xml:space="preserve"> C).  If the program requires, in psychiatric units, plumbing fixtures </w:t>
      </w:r>
      <w:r w:rsidR="00920618">
        <w:t>that</w:t>
      </w:r>
      <w:r>
        <w:t xml:space="preserve"> require hot water and are accessible to patients shall be supplied with hot water not to exceed 100</w:t>
      </w:r>
      <w:r w:rsidR="00C70682">
        <w:t>º</w:t>
      </w:r>
      <w:r>
        <w:t xml:space="preserve"> F (38</w:t>
      </w:r>
      <w:r w:rsidR="00C70682">
        <w:t>º</w:t>
      </w:r>
      <w:r>
        <w:t xml:space="preserve"> C).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Hot Water Heaters and Tanks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1677A3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hot water heating equipment shall have sufficient capacity to supply water at the temperatures and quantities in the following areas: </w:t>
      </w:r>
    </w:p>
    <w:p w:rsidR="00C70682" w:rsidRDefault="00C70682" w:rsidP="006E41DC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1843"/>
        <w:gridCol w:w="1820"/>
        <w:gridCol w:w="1819"/>
        <w:gridCol w:w="1820"/>
      </w:tblGrid>
      <w:tr w:rsidR="00C706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25" w:type="dxa"/>
          </w:tcPr>
          <w:p w:rsidR="00C70682" w:rsidRDefault="00C70682" w:rsidP="006E41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Clinical</w:t>
            </w:r>
          </w:p>
        </w:tc>
        <w:tc>
          <w:tcPr>
            <w:tcW w:w="1825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Dietary</w:t>
            </w:r>
          </w:p>
        </w:tc>
        <w:tc>
          <w:tcPr>
            <w:tcW w:w="1826" w:type="dxa"/>
          </w:tcPr>
          <w:p w:rsidR="001677A3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Laundry</w:t>
            </w:r>
          </w:p>
        </w:tc>
      </w:tr>
      <w:tr w:rsidR="00C70682">
        <w:tblPrEx>
          <w:tblCellMar>
            <w:top w:w="0" w:type="dxa"/>
            <w:bottom w:w="0" w:type="dxa"/>
          </w:tblCellMar>
        </w:tblPrEx>
        <w:tc>
          <w:tcPr>
            <w:tcW w:w="1825" w:type="dxa"/>
          </w:tcPr>
          <w:p w:rsidR="00C70682" w:rsidRDefault="00C70682" w:rsidP="006E41DC">
            <w:pPr>
              <w:widowControl w:val="0"/>
              <w:autoSpaceDE w:val="0"/>
              <w:autoSpaceDN w:val="0"/>
              <w:adjustRightInd w:val="0"/>
            </w:pPr>
            <w:r>
              <w:t>gallons/hour/bed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6½</w:t>
            </w:r>
          </w:p>
        </w:tc>
        <w:tc>
          <w:tcPr>
            <w:tcW w:w="1825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4½</w:t>
            </w:r>
          </w:p>
        </w:tc>
      </w:tr>
      <w:tr w:rsidR="00C70682">
        <w:tblPrEx>
          <w:tblCellMar>
            <w:top w:w="0" w:type="dxa"/>
            <w:bottom w:w="0" w:type="dxa"/>
          </w:tblCellMar>
        </w:tblPrEx>
        <w:tc>
          <w:tcPr>
            <w:tcW w:w="1825" w:type="dxa"/>
          </w:tcPr>
          <w:p w:rsidR="00C70682" w:rsidRDefault="00C70682" w:rsidP="006E41DC">
            <w:pPr>
              <w:widowControl w:val="0"/>
              <w:autoSpaceDE w:val="0"/>
              <w:autoSpaceDN w:val="0"/>
              <w:adjustRightInd w:val="0"/>
            </w:pPr>
            <w:r>
              <w:t>liters/second/bed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.007</w:t>
            </w:r>
          </w:p>
        </w:tc>
        <w:tc>
          <w:tcPr>
            <w:tcW w:w="1825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.004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.005</w:t>
            </w:r>
          </w:p>
        </w:tc>
      </w:tr>
      <w:tr w:rsidR="00C70682">
        <w:tblPrEx>
          <w:tblCellMar>
            <w:top w:w="0" w:type="dxa"/>
            <w:bottom w:w="0" w:type="dxa"/>
          </w:tblCellMar>
        </w:tblPrEx>
        <w:tc>
          <w:tcPr>
            <w:tcW w:w="1825" w:type="dxa"/>
          </w:tcPr>
          <w:p w:rsidR="00C70682" w:rsidRDefault="00C70682" w:rsidP="006E41DC">
            <w:pPr>
              <w:widowControl w:val="0"/>
              <w:autoSpaceDE w:val="0"/>
              <w:autoSpaceDN w:val="0"/>
              <w:adjustRightInd w:val="0"/>
            </w:pPr>
            <w:r>
              <w:t xml:space="preserve">temperature ºF 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25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</w:tr>
      <w:tr w:rsidR="00C70682">
        <w:tblPrEx>
          <w:tblCellMar>
            <w:top w:w="0" w:type="dxa"/>
            <w:bottom w:w="0" w:type="dxa"/>
          </w:tblCellMar>
        </w:tblPrEx>
        <w:tc>
          <w:tcPr>
            <w:tcW w:w="1825" w:type="dxa"/>
          </w:tcPr>
          <w:p w:rsidR="00C70682" w:rsidRDefault="00C70682" w:rsidP="006E41DC">
            <w:pPr>
              <w:widowControl w:val="0"/>
              <w:autoSpaceDE w:val="0"/>
              <w:autoSpaceDN w:val="0"/>
              <w:adjustRightInd w:val="0"/>
            </w:pPr>
            <w:r>
              <w:t>temperature ºC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25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826" w:type="dxa"/>
          </w:tcPr>
          <w:p w:rsidR="00C70682" w:rsidRDefault="00C70682" w:rsidP="00C706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</w:tr>
    </w:tbl>
    <w:p w:rsidR="00C70682" w:rsidRDefault="00C70682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C70682">
      <w:pPr>
        <w:widowControl w:val="0"/>
        <w:autoSpaceDE w:val="0"/>
        <w:autoSpaceDN w:val="0"/>
        <w:adjustRightInd w:val="0"/>
        <w:ind w:left="2160"/>
      </w:pPr>
      <w:r>
        <w:t xml:space="preserve">Water temperatures </w:t>
      </w:r>
      <w:r w:rsidR="00AD78DA">
        <w:t xml:space="preserve">are </w:t>
      </w:r>
      <w:r>
        <w:t xml:space="preserve">to be taken at </w:t>
      </w:r>
      <w:r w:rsidR="00AD78DA">
        <w:t xml:space="preserve">the </w:t>
      </w:r>
      <w:r>
        <w:t xml:space="preserve">hot water point of use or </w:t>
      </w:r>
      <w:r w:rsidR="00AD78DA">
        <w:t xml:space="preserve">at the </w:t>
      </w:r>
      <w:r>
        <w:t xml:space="preserve">inlet to </w:t>
      </w:r>
      <w:r w:rsidR="00920618">
        <w:t xml:space="preserve">the </w:t>
      </w:r>
      <w:r>
        <w:t xml:space="preserve">processing equipment.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Storage tanks shall be fabricated of corrosion-resistant metal or lined with non-corrosive material.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Drainage Systems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Drain lines from sinks in which acid wastes may be poured shall be </w:t>
      </w:r>
      <w:r w:rsidR="00920618">
        <w:t>constructed</w:t>
      </w:r>
      <w:r w:rsidR="00E33604">
        <w:t xml:space="preserve"> of</w:t>
      </w:r>
      <w:r>
        <w:t xml:space="preserve"> acid-resistant material.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Insofar as possible, drain piping shall not be installed over operating and delivery rooms</w:t>
      </w:r>
      <w:r w:rsidR="00920618">
        <w:t>;</w:t>
      </w:r>
      <w:r>
        <w:t xml:space="preserve"> nurseries</w:t>
      </w:r>
      <w:r w:rsidR="00920618">
        <w:t>;</w:t>
      </w:r>
      <w:r>
        <w:t xml:space="preserve"> food preparation</w:t>
      </w:r>
      <w:r w:rsidR="00B22F28">
        <w:t>,</w:t>
      </w:r>
      <w:r>
        <w:t xml:space="preserve"> serving</w:t>
      </w:r>
      <w:r w:rsidR="00B22F28">
        <w:t>,</w:t>
      </w:r>
      <w:r>
        <w:t xml:space="preserve"> and storage areas</w:t>
      </w:r>
      <w:r w:rsidR="00920618">
        <w:t>;</w:t>
      </w:r>
      <w:r>
        <w:t xml:space="preserve"> and similar critical areas.  Special precautions shall be taken to protect these areas from possible leakage or condensation from overhead piping systems.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Floor drains shall not be installed in operating rooms.  Flushing rim type drains may be installed in </w:t>
      </w:r>
      <w:r w:rsidR="00920618">
        <w:t>cytoscopic operating rooms</w:t>
      </w:r>
      <w:r>
        <w:t xml:space="preserve">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Building sewers shall discharge into a public </w:t>
      </w:r>
      <w:r w:rsidR="00920618">
        <w:t>sewer</w:t>
      </w:r>
      <w:r>
        <w:t xml:space="preserve"> system.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E33604">
        <w:t>When</w:t>
      </w:r>
      <w:r>
        <w:t xml:space="preserve"> a public </w:t>
      </w:r>
      <w:r w:rsidR="00920618">
        <w:t>sewer</w:t>
      </w:r>
      <w:r>
        <w:t xml:space="preserve"> system is not available, plans for any private sewage </w:t>
      </w:r>
      <w:r>
        <w:lastRenderedPageBreak/>
        <w:t xml:space="preserve">disposal system shall be submitted to the Environmental Protection Agency for review for approval before hospital construction is started.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Nonflammable medical gas systems shall be installed in accordance with NFPA 99</w:t>
      </w:r>
      <w:r w:rsidR="00E5622E">
        <w:t>,</w:t>
      </w:r>
      <w:r w:rsidR="00AD78DA">
        <w:t xml:space="preserve"> Standard for Health Care Facilities.</w:t>
      </w:r>
      <w:r>
        <w:t xml:space="preserve">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Clinical vacuum (suction) systems shall be installed in accordance with </w:t>
      </w:r>
      <w:r w:rsidR="00AD78DA">
        <w:t>NFPA 99</w:t>
      </w:r>
      <w:r w:rsidR="00E5622E">
        <w:t>,</w:t>
      </w:r>
      <w:r w:rsidR="00AD78DA">
        <w:t xml:space="preserve"> Standard for Health Care Facilities</w:t>
      </w:r>
      <w:r w:rsidR="00E5622E">
        <w:t>.</w:t>
      </w:r>
      <w:r>
        <w:t xml:space="preserve">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Medical compressed air systems shall be installed in accordance with </w:t>
      </w:r>
      <w:r w:rsidR="00AD78DA">
        <w:t>NFPA 99</w:t>
      </w:r>
      <w:r w:rsidR="00E5622E">
        <w:t>,</w:t>
      </w:r>
      <w:r w:rsidR="00AD78DA">
        <w:t xml:space="preserve"> Standard for Health Care Facilities.</w:t>
      </w:r>
      <w:r>
        <w:t xml:space="preserve">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Oxygen, vacuum</w:t>
      </w:r>
      <w:r w:rsidR="00B22F28">
        <w:t>,</w:t>
      </w:r>
      <w:r>
        <w:t xml:space="preserve"> and medical compressed air shall be piped to the locations indicated in Table E with the required station outlets.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Service outlets for central housekeeping vacuum systems, if used, shall not be located within operating rooms.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144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Fire Extinguishing Systems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fire extinguishing systems shall be designed, installed</w:t>
      </w:r>
      <w:r w:rsidR="00B22F28">
        <w:t>,</w:t>
      </w:r>
      <w:r>
        <w:t xml:space="preserve"> and maintained in accordance with NFPA 101</w:t>
      </w:r>
      <w:r w:rsidR="00E5622E">
        <w:t>,</w:t>
      </w:r>
      <w:r>
        <w:t xml:space="preserve"> Life Safety Code, NFPA </w:t>
      </w:r>
      <w:r w:rsidR="00C70682">
        <w:t xml:space="preserve"> </w:t>
      </w:r>
      <w:r>
        <w:t>13</w:t>
      </w:r>
      <w:r w:rsidR="00E5622E">
        <w:t>,</w:t>
      </w:r>
      <w:r w:rsidR="00AD78DA">
        <w:t xml:space="preserve"> Standards for the Installation of Sprinkler Systems,</w:t>
      </w:r>
      <w:r>
        <w:t xml:space="preserve"> and NFPA </w:t>
      </w:r>
      <w:r w:rsidR="00AD78DA">
        <w:t>25</w:t>
      </w:r>
      <w:r>
        <w:t>A</w:t>
      </w:r>
      <w:r w:rsidR="00E5622E">
        <w:t>,</w:t>
      </w:r>
      <w:r w:rsidR="00AD78DA">
        <w:t xml:space="preserve"> Standard for the Inspection, Testing, and Maintenance of Water-Based Fire Protection System</w:t>
      </w:r>
      <w:r w:rsidR="00B22F28">
        <w:t>s</w:t>
      </w:r>
      <w:r w:rsidR="00AD78DA">
        <w:t>.</w:t>
      </w:r>
      <w:r>
        <w:t xml:space="preserve"> </w:t>
      </w:r>
    </w:p>
    <w:p w:rsidR="0035273C" w:rsidRDefault="0035273C" w:rsidP="006E41DC">
      <w:pPr>
        <w:widowControl w:val="0"/>
        <w:autoSpaceDE w:val="0"/>
        <w:autoSpaceDN w:val="0"/>
        <w:adjustRightInd w:val="0"/>
        <w:ind w:left="2160" w:hanging="720"/>
      </w:pP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Class III, Type 1 inside standpipe </w:t>
      </w:r>
      <w:r w:rsidR="00AD78DA">
        <w:t>systems</w:t>
      </w:r>
      <w:r>
        <w:t xml:space="preserve"> shall be provided in all buildings more than four stories or 55 feet in height.  Such standpipe systems shall </w:t>
      </w:r>
      <w:r w:rsidR="00AD78DA">
        <w:t>comply with</w:t>
      </w:r>
      <w:r>
        <w:t xml:space="preserve"> NFPA 14</w:t>
      </w:r>
      <w:r w:rsidR="00E5622E">
        <w:t>,</w:t>
      </w:r>
      <w:r w:rsidR="003C5D1D">
        <w:t xml:space="preserve"> Standard for the Installation of Standpipe, Private Hydrants and Hose Systems.</w:t>
      </w:r>
      <w:r>
        <w:t xml:space="preserve"> </w:t>
      </w:r>
    </w:p>
    <w:p w:rsidR="006E41DC" w:rsidRDefault="006E41DC" w:rsidP="006E41DC">
      <w:pPr>
        <w:widowControl w:val="0"/>
        <w:autoSpaceDE w:val="0"/>
        <w:autoSpaceDN w:val="0"/>
        <w:adjustRightInd w:val="0"/>
        <w:ind w:left="2160" w:hanging="720"/>
      </w:pPr>
    </w:p>
    <w:p w:rsidR="003C5D1D" w:rsidRPr="00D55B37" w:rsidRDefault="003C5D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46A6D">
        <w:t>6386</w:t>
      </w:r>
      <w:r w:rsidRPr="00D55B37">
        <w:t xml:space="preserve">, effective </w:t>
      </w:r>
      <w:r w:rsidR="00646A6D">
        <w:t>March 31, 2011</w:t>
      </w:r>
      <w:r w:rsidRPr="00D55B37">
        <w:t>)</w:t>
      </w:r>
    </w:p>
    <w:sectPr w:rsidR="003C5D1D" w:rsidRPr="00D55B37" w:rsidSect="006E4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1DC"/>
    <w:rsid w:val="0011426A"/>
    <w:rsid w:val="001677A3"/>
    <w:rsid w:val="0035273C"/>
    <w:rsid w:val="003C5D1D"/>
    <w:rsid w:val="005C3366"/>
    <w:rsid w:val="00646A6D"/>
    <w:rsid w:val="006C70EF"/>
    <w:rsid w:val="006E41DC"/>
    <w:rsid w:val="006E6A19"/>
    <w:rsid w:val="00920618"/>
    <w:rsid w:val="00AD78DA"/>
    <w:rsid w:val="00B22F28"/>
    <w:rsid w:val="00C70682"/>
    <w:rsid w:val="00D12064"/>
    <w:rsid w:val="00E33604"/>
    <w:rsid w:val="00E5622E"/>
    <w:rsid w:val="00E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70682"/>
    <w:pPr>
      <w:ind w:left="720" w:hanging="360"/>
    </w:pPr>
  </w:style>
  <w:style w:type="paragraph" w:styleId="BalloonText">
    <w:name w:val="Balloon Text"/>
    <w:basedOn w:val="Normal"/>
    <w:semiHidden/>
    <w:rsid w:val="00AD78D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C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70682"/>
    <w:pPr>
      <w:ind w:left="720" w:hanging="360"/>
    </w:pPr>
  </w:style>
  <w:style w:type="paragraph" w:styleId="BalloonText">
    <w:name w:val="Balloon Text"/>
    <w:basedOn w:val="Normal"/>
    <w:semiHidden/>
    <w:rsid w:val="00AD78D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cp:lastPrinted>2004-02-26T20:45:00Z</cp:lastPrinted>
  <dcterms:created xsi:type="dcterms:W3CDTF">2012-06-21T23:11:00Z</dcterms:created>
  <dcterms:modified xsi:type="dcterms:W3CDTF">2012-06-21T23:11:00Z</dcterms:modified>
</cp:coreProperties>
</file>