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65" w:rsidRDefault="004C4365" w:rsidP="0019500D">
      <w:pPr>
        <w:rPr>
          <w:b/>
          <w:sz w:val="24"/>
        </w:rPr>
      </w:pPr>
      <w:bookmarkStart w:id="0" w:name="_GoBack"/>
      <w:bookmarkEnd w:id="0"/>
    </w:p>
    <w:p w:rsidR="0019500D" w:rsidRPr="0019500D" w:rsidRDefault="0019500D" w:rsidP="0019500D">
      <w:pPr>
        <w:rPr>
          <w:b/>
          <w:sz w:val="24"/>
        </w:rPr>
      </w:pPr>
      <w:r w:rsidRPr="0019500D">
        <w:rPr>
          <w:b/>
          <w:sz w:val="24"/>
        </w:rPr>
        <w:t>Section 250.2443  Advisory Committee</w:t>
      </w:r>
    </w:p>
    <w:p w:rsidR="0019500D" w:rsidRPr="0019500D" w:rsidRDefault="0019500D" w:rsidP="0019500D">
      <w:pPr>
        <w:rPr>
          <w:sz w:val="24"/>
        </w:rPr>
      </w:pPr>
    </w:p>
    <w:p w:rsidR="0019500D" w:rsidRPr="0019500D" w:rsidRDefault="0019500D" w:rsidP="0019500D">
      <w:pPr>
        <w:ind w:left="1440" w:hanging="720"/>
        <w:rPr>
          <w:sz w:val="24"/>
        </w:rPr>
      </w:pPr>
      <w:r w:rsidRPr="0019500D">
        <w:rPr>
          <w:sz w:val="24"/>
        </w:rPr>
        <w:t>a)</w:t>
      </w:r>
      <w:r>
        <w:rPr>
          <w:sz w:val="24"/>
        </w:rPr>
        <w:tab/>
      </w:r>
      <w:r w:rsidRPr="0019500D">
        <w:rPr>
          <w:i/>
          <w:iCs/>
          <w:sz w:val="24"/>
        </w:rPr>
        <w:t>The Director shall appoint an advisory</w:t>
      </w:r>
      <w:r w:rsidRPr="0019500D">
        <w:rPr>
          <w:sz w:val="24"/>
        </w:rPr>
        <w:t xml:space="preserve"> </w:t>
      </w:r>
      <w:r w:rsidRPr="0019500D">
        <w:rPr>
          <w:i/>
          <w:iCs/>
          <w:sz w:val="24"/>
        </w:rPr>
        <w:t>committee</w:t>
      </w:r>
      <w:r w:rsidRPr="0019500D">
        <w:rPr>
          <w:sz w:val="24"/>
        </w:rPr>
        <w:t xml:space="preserve"> </w:t>
      </w:r>
      <w:r w:rsidRPr="0019500D">
        <w:rPr>
          <w:i/>
          <w:iCs/>
          <w:sz w:val="24"/>
        </w:rPr>
        <w:t>to advise the Department and to conduct</w:t>
      </w:r>
      <w:r w:rsidRPr="0019500D">
        <w:rPr>
          <w:sz w:val="24"/>
        </w:rPr>
        <w:t xml:space="preserve"> </w:t>
      </w:r>
      <w:r w:rsidRPr="0019500D">
        <w:rPr>
          <w:i/>
          <w:iCs/>
          <w:sz w:val="24"/>
        </w:rPr>
        <w:t>informal dispute resolution concerning the application of building codes</w:t>
      </w:r>
      <w:r w:rsidRPr="0019500D">
        <w:rPr>
          <w:sz w:val="24"/>
        </w:rPr>
        <w:t xml:space="preserve"> </w:t>
      </w:r>
      <w:r w:rsidRPr="0019500D">
        <w:rPr>
          <w:i/>
          <w:iCs/>
          <w:sz w:val="24"/>
        </w:rPr>
        <w:t>for new and existing construction and related Department rules and standards under</w:t>
      </w:r>
      <w:r w:rsidRPr="0019500D">
        <w:rPr>
          <w:sz w:val="24"/>
        </w:rPr>
        <w:t xml:space="preserve"> </w:t>
      </w:r>
      <w:r w:rsidRPr="0019500D">
        <w:rPr>
          <w:i/>
          <w:iCs/>
          <w:sz w:val="24"/>
        </w:rPr>
        <w:t>the</w:t>
      </w:r>
      <w:r w:rsidRPr="0019500D">
        <w:rPr>
          <w:sz w:val="24"/>
        </w:rPr>
        <w:t xml:space="preserve"> </w:t>
      </w:r>
      <w:r w:rsidRPr="0019500D">
        <w:rPr>
          <w:i/>
          <w:iCs/>
          <w:sz w:val="24"/>
        </w:rPr>
        <w:t>Act, including without limitation rules and standards for design and construction, engineering and maintenance of the physical plant, site, equipment, and systems (heating, cooling, electrical, ventilation, plumbing, water, sewer, and solid waste disposal), and fire and safety</w:t>
      </w:r>
      <w:r w:rsidRPr="0019500D">
        <w:rPr>
          <w:sz w:val="24"/>
        </w:rPr>
        <w:t>.  (Section 2310-560(b) of the Department of Public Health Powers and Duties Law of the Civil Administrati</w:t>
      </w:r>
      <w:r w:rsidR="00EF1128">
        <w:rPr>
          <w:sz w:val="24"/>
        </w:rPr>
        <w:t>ve</w:t>
      </w:r>
      <w:r w:rsidRPr="0019500D">
        <w:rPr>
          <w:sz w:val="24"/>
        </w:rPr>
        <w:t xml:space="preserve"> Code of </w:t>
      </w:r>
      <w:smartTag w:uri="urn:schemas-microsoft-com:office:smarttags" w:element="State">
        <w:smartTag w:uri="urn:schemas-microsoft-com:office:smarttags" w:element="place">
          <w:r w:rsidRPr="0019500D">
            <w:rPr>
              <w:sz w:val="24"/>
            </w:rPr>
            <w:t>Illinois</w:t>
          </w:r>
        </w:smartTag>
      </w:smartTag>
      <w:r w:rsidRPr="0019500D">
        <w:rPr>
          <w:sz w:val="24"/>
        </w:rPr>
        <w:t>)</w:t>
      </w:r>
    </w:p>
    <w:p w:rsidR="00EF1128" w:rsidRDefault="00EF1128" w:rsidP="0019500D">
      <w:pPr>
        <w:ind w:left="720"/>
        <w:rPr>
          <w:sz w:val="24"/>
        </w:rPr>
      </w:pPr>
    </w:p>
    <w:p w:rsidR="0019500D" w:rsidRPr="0019500D" w:rsidRDefault="0019500D" w:rsidP="0019500D">
      <w:pPr>
        <w:ind w:left="720"/>
        <w:rPr>
          <w:sz w:val="24"/>
        </w:rPr>
      </w:pPr>
      <w:r w:rsidRPr="0019500D">
        <w:rPr>
          <w:sz w:val="24"/>
        </w:rPr>
        <w:t>b)</w:t>
      </w:r>
      <w:r>
        <w:rPr>
          <w:sz w:val="24"/>
        </w:rPr>
        <w:tab/>
      </w:r>
      <w:r w:rsidRPr="0019500D">
        <w:rPr>
          <w:i/>
          <w:iCs/>
          <w:sz w:val="24"/>
        </w:rPr>
        <w:t>The advisory</w:t>
      </w:r>
      <w:r w:rsidRPr="0019500D">
        <w:rPr>
          <w:sz w:val="24"/>
        </w:rPr>
        <w:t xml:space="preserve"> </w:t>
      </w:r>
      <w:r w:rsidRPr="0019500D">
        <w:rPr>
          <w:i/>
          <w:iCs/>
          <w:sz w:val="24"/>
        </w:rPr>
        <w:t>committee shall be composed of all of the following members</w:t>
      </w:r>
      <w:r w:rsidRPr="0019500D">
        <w:rPr>
          <w:sz w:val="24"/>
        </w:rPr>
        <w:t>:</w:t>
      </w:r>
    </w:p>
    <w:p w:rsidR="00EF1128" w:rsidRDefault="00EF1128" w:rsidP="0019500D">
      <w:pPr>
        <w:ind w:left="2160" w:hanging="720"/>
        <w:rPr>
          <w:sz w:val="24"/>
        </w:rPr>
      </w:pPr>
    </w:p>
    <w:p w:rsidR="0019500D" w:rsidRPr="0019500D" w:rsidRDefault="0019500D" w:rsidP="0019500D">
      <w:pPr>
        <w:ind w:left="2160" w:hanging="720"/>
        <w:rPr>
          <w:sz w:val="24"/>
        </w:rPr>
      </w:pPr>
      <w:r w:rsidRPr="0019500D">
        <w:rPr>
          <w:sz w:val="24"/>
        </w:rPr>
        <w:t>1)</w:t>
      </w:r>
      <w:r>
        <w:rPr>
          <w:sz w:val="24"/>
        </w:rPr>
        <w:tab/>
      </w:r>
      <w:r w:rsidRPr="0019500D">
        <w:rPr>
          <w:i/>
          <w:iCs/>
          <w:sz w:val="24"/>
        </w:rPr>
        <w:t>The chairperson or an elected representative from the Hospital Licensing Board under the Act;</w:t>
      </w:r>
    </w:p>
    <w:p w:rsidR="00EF1128" w:rsidRDefault="00EF1128" w:rsidP="0019500D">
      <w:pPr>
        <w:ind w:left="2160" w:hanging="720"/>
        <w:rPr>
          <w:sz w:val="24"/>
        </w:rPr>
      </w:pPr>
    </w:p>
    <w:p w:rsidR="0019500D" w:rsidRPr="0019500D" w:rsidRDefault="0019500D" w:rsidP="0019500D">
      <w:pPr>
        <w:ind w:left="2160" w:hanging="720"/>
        <w:rPr>
          <w:sz w:val="24"/>
        </w:rPr>
      </w:pPr>
      <w:r w:rsidRPr="0019500D">
        <w:rPr>
          <w:sz w:val="24"/>
        </w:rPr>
        <w:t>2)</w:t>
      </w:r>
      <w:r>
        <w:rPr>
          <w:sz w:val="24"/>
        </w:rPr>
        <w:tab/>
      </w:r>
      <w:r w:rsidRPr="0019500D">
        <w:rPr>
          <w:i/>
          <w:iCs/>
          <w:sz w:val="24"/>
        </w:rPr>
        <w:t>Two health care architects with a minimum of 10 years of experience in institutional design and building code analysis;</w:t>
      </w:r>
    </w:p>
    <w:p w:rsidR="00EF1128" w:rsidRDefault="00EF1128" w:rsidP="0019500D">
      <w:pPr>
        <w:ind w:left="2160" w:hanging="720"/>
        <w:rPr>
          <w:sz w:val="24"/>
        </w:rPr>
      </w:pPr>
    </w:p>
    <w:p w:rsidR="0019500D" w:rsidRPr="0019500D" w:rsidRDefault="0019500D" w:rsidP="0019500D">
      <w:pPr>
        <w:ind w:left="2160" w:hanging="720"/>
        <w:rPr>
          <w:sz w:val="24"/>
        </w:rPr>
      </w:pPr>
      <w:r w:rsidRPr="0019500D">
        <w:rPr>
          <w:sz w:val="24"/>
        </w:rPr>
        <w:t>3)</w:t>
      </w:r>
      <w:r>
        <w:rPr>
          <w:sz w:val="24"/>
        </w:rPr>
        <w:tab/>
      </w:r>
      <w:r w:rsidRPr="0019500D">
        <w:rPr>
          <w:i/>
          <w:iCs/>
          <w:sz w:val="24"/>
        </w:rPr>
        <w:t>Two engineering professionals (one mechanical and one electrical) with a minimum of 10 years of experience in institutional design and building code analysis;</w:t>
      </w:r>
    </w:p>
    <w:p w:rsidR="00EF1128" w:rsidRDefault="00EF1128" w:rsidP="0019500D">
      <w:pPr>
        <w:ind w:left="2160" w:hanging="720"/>
        <w:rPr>
          <w:sz w:val="24"/>
        </w:rPr>
      </w:pPr>
    </w:p>
    <w:p w:rsidR="0019500D" w:rsidRPr="008B6947" w:rsidRDefault="0019500D" w:rsidP="0019500D">
      <w:pPr>
        <w:ind w:left="2160" w:hanging="720"/>
        <w:rPr>
          <w:i/>
          <w:sz w:val="24"/>
        </w:rPr>
      </w:pPr>
      <w:r w:rsidRPr="0019500D">
        <w:rPr>
          <w:sz w:val="24"/>
        </w:rPr>
        <w:t>4)</w:t>
      </w:r>
      <w:r>
        <w:rPr>
          <w:sz w:val="24"/>
        </w:rPr>
        <w:tab/>
      </w:r>
      <w:r w:rsidRPr="0019500D">
        <w:rPr>
          <w:i/>
          <w:iCs/>
          <w:sz w:val="24"/>
        </w:rPr>
        <w:t>One commercial interior design professional with a minimum of 10 years of experience</w:t>
      </w:r>
      <w:r w:rsidRPr="0019500D">
        <w:rPr>
          <w:sz w:val="24"/>
        </w:rPr>
        <w:t xml:space="preserve"> </w:t>
      </w:r>
      <w:r w:rsidRPr="00EF1128">
        <w:rPr>
          <w:sz w:val="24"/>
        </w:rPr>
        <w:t>in institutional design and building code analysis</w:t>
      </w:r>
      <w:r w:rsidRPr="008B6947">
        <w:rPr>
          <w:i/>
          <w:sz w:val="24"/>
        </w:rPr>
        <w:t>;</w:t>
      </w:r>
    </w:p>
    <w:p w:rsidR="00EF1128" w:rsidRDefault="00EF1128" w:rsidP="0019500D">
      <w:pPr>
        <w:ind w:left="1440"/>
        <w:rPr>
          <w:sz w:val="24"/>
        </w:rPr>
      </w:pPr>
    </w:p>
    <w:p w:rsidR="0019500D" w:rsidRPr="0019500D" w:rsidRDefault="0019500D" w:rsidP="0019500D">
      <w:pPr>
        <w:ind w:left="1440"/>
        <w:rPr>
          <w:sz w:val="24"/>
        </w:rPr>
      </w:pPr>
      <w:r w:rsidRPr="0019500D">
        <w:rPr>
          <w:sz w:val="24"/>
        </w:rPr>
        <w:t>5)</w:t>
      </w:r>
      <w:r>
        <w:rPr>
          <w:sz w:val="24"/>
        </w:rPr>
        <w:tab/>
      </w:r>
      <w:r w:rsidRPr="0019500D">
        <w:rPr>
          <w:i/>
          <w:iCs/>
          <w:sz w:val="24"/>
        </w:rPr>
        <w:t>Two representatives from provider associations</w:t>
      </w:r>
      <w:r w:rsidRPr="0019500D">
        <w:rPr>
          <w:sz w:val="24"/>
        </w:rPr>
        <w:t xml:space="preserve">; </w:t>
      </w:r>
      <w:r w:rsidRPr="00EF1128">
        <w:rPr>
          <w:sz w:val="24"/>
        </w:rPr>
        <w:t>and</w:t>
      </w:r>
    </w:p>
    <w:p w:rsidR="00EF1128" w:rsidRDefault="00EF1128" w:rsidP="0019500D">
      <w:pPr>
        <w:ind w:left="2160" w:hanging="720"/>
        <w:rPr>
          <w:sz w:val="24"/>
        </w:rPr>
      </w:pPr>
    </w:p>
    <w:p w:rsidR="0019500D" w:rsidRPr="0019500D" w:rsidRDefault="0019500D" w:rsidP="0019500D">
      <w:pPr>
        <w:ind w:left="2160" w:hanging="720"/>
        <w:rPr>
          <w:sz w:val="24"/>
        </w:rPr>
      </w:pPr>
      <w:r w:rsidRPr="0019500D">
        <w:rPr>
          <w:sz w:val="24"/>
        </w:rPr>
        <w:t>6)</w:t>
      </w:r>
      <w:r>
        <w:rPr>
          <w:sz w:val="24"/>
        </w:rPr>
        <w:tab/>
      </w:r>
      <w:r w:rsidRPr="0019500D">
        <w:rPr>
          <w:i/>
          <w:iCs/>
          <w:sz w:val="24"/>
        </w:rPr>
        <w:t>The Director or his/her designee, who shall serve as the committee moderator</w:t>
      </w:r>
      <w:r w:rsidRPr="0019500D">
        <w:rPr>
          <w:sz w:val="24"/>
        </w:rPr>
        <w:t>.  (Section 2310-560(b) of the Department of Public Health Powers and Duties Law of the Civil Administrati</w:t>
      </w:r>
      <w:r w:rsidR="00EF1128">
        <w:rPr>
          <w:sz w:val="24"/>
        </w:rPr>
        <w:t>ve</w:t>
      </w:r>
      <w:r w:rsidRPr="0019500D">
        <w:rPr>
          <w:sz w:val="24"/>
        </w:rPr>
        <w:t xml:space="preserve"> Code of </w:t>
      </w:r>
      <w:smartTag w:uri="urn:schemas-microsoft-com:office:smarttags" w:element="State">
        <w:smartTag w:uri="urn:schemas-microsoft-com:office:smarttags" w:element="place">
          <w:r w:rsidRPr="0019500D">
            <w:rPr>
              <w:sz w:val="24"/>
            </w:rPr>
            <w:t>Illinois</w:t>
          </w:r>
        </w:smartTag>
      </w:smartTag>
      <w:r w:rsidRPr="0019500D">
        <w:rPr>
          <w:sz w:val="24"/>
        </w:rPr>
        <w:t>)</w:t>
      </w:r>
    </w:p>
    <w:p w:rsidR="00EF1128" w:rsidRDefault="00EF1128" w:rsidP="0019500D">
      <w:pPr>
        <w:ind w:left="1440" w:hanging="720"/>
        <w:rPr>
          <w:sz w:val="24"/>
        </w:rPr>
      </w:pPr>
    </w:p>
    <w:p w:rsidR="0019500D" w:rsidRPr="0019500D" w:rsidRDefault="0019500D" w:rsidP="0019500D">
      <w:pPr>
        <w:ind w:left="1440" w:hanging="720"/>
        <w:rPr>
          <w:sz w:val="24"/>
        </w:rPr>
      </w:pPr>
      <w:r w:rsidRPr="0019500D">
        <w:rPr>
          <w:sz w:val="24"/>
        </w:rPr>
        <w:t>c)</w:t>
      </w:r>
      <w:r>
        <w:rPr>
          <w:sz w:val="24"/>
        </w:rPr>
        <w:tab/>
      </w:r>
      <w:r w:rsidRPr="0019500D">
        <w:rPr>
          <w:i/>
          <w:iCs/>
          <w:sz w:val="24"/>
        </w:rPr>
        <w:t>Appointments shall be made with the concurrence of the Hospital Licensing Board</w:t>
      </w:r>
      <w:r w:rsidRPr="0019500D">
        <w:rPr>
          <w:sz w:val="24"/>
        </w:rPr>
        <w:t>.  (Section 2310-560(b) of the Department of Public Health Powers and Duties Law of the Civil Administrati</w:t>
      </w:r>
      <w:r w:rsidR="00EF1128">
        <w:rPr>
          <w:sz w:val="24"/>
        </w:rPr>
        <w:t>ve</w:t>
      </w:r>
      <w:r w:rsidRPr="0019500D">
        <w:rPr>
          <w:sz w:val="24"/>
        </w:rPr>
        <w:t xml:space="preserve"> Code of </w:t>
      </w:r>
      <w:smartTag w:uri="urn:schemas-microsoft-com:office:smarttags" w:element="State">
        <w:smartTag w:uri="urn:schemas-microsoft-com:office:smarttags" w:element="place">
          <w:r w:rsidRPr="0019500D">
            <w:rPr>
              <w:sz w:val="24"/>
            </w:rPr>
            <w:t>Illinois</w:t>
          </w:r>
        </w:smartTag>
      </w:smartTag>
      <w:r w:rsidRPr="0019500D">
        <w:rPr>
          <w:sz w:val="24"/>
        </w:rPr>
        <w:t>)</w:t>
      </w:r>
    </w:p>
    <w:p w:rsidR="00EF1128" w:rsidRDefault="00EF1128" w:rsidP="0019500D">
      <w:pPr>
        <w:ind w:left="720"/>
        <w:rPr>
          <w:sz w:val="24"/>
        </w:rPr>
      </w:pPr>
    </w:p>
    <w:p w:rsidR="0019500D" w:rsidRPr="0019500D" w:rsidRDefault="0019500D" w:rsidP="0019500D">
      <w:pPr>
        <w:ind w:left="720"/>
        <w:rPr>
          <w:sz w:val="24"/>
        </w:rPr>
      </w:pPr>
      <w:r w:rsidRPr="0019500D">
        <w:rPr>
          <w:sz w:val="24"/>
        </w:rPr>
        <w:t>d)</w:t>
      </w:r>
      <w:r>
        <w:rPr>
          <w:sz w:val="24"/>
        </w:rPr>
        <w:tab/>
      </w:r>
      <w:r w:rsidRPr="0019500D">
        <w:rPr>
          <w:sz w:val="24"/>
        </w:rPr>
        <w:t>Appointments shall be made for a three year term.</w:t>
      </w:r>
    </w:p>
    <w:p w:rsidR="00EF1128" w:rsidRDefault="00EF1128" w:rsidP="0019500D">
      <w:pPr>
        <w:ind w:left="1440" w:hanging="720"/>
        <w:rPr>
          <w:sz w:val="24"/>
        </w:rPr>
      </w:pPr>
    </w:p>
    <w:p w:rsidR="0019500D" w:rsidRPr="0019500D" w:rsidRDefault="0019500D" w:rsidP="0019500D">
      <w:pPr>
        <w:ind w:left="1440" w:hanging="720"/>
        <w:rPr>
          <w:sz w:val="24"/>
        </w:rPr>
      </w:pPr>
      <w:r w:rsidRPr="0019500D">
        <w:rPr>
          <w:sz w:val="24"/>
        </w:rPr>
        <w:t>e)</w:t>
      </w:r>
      <w:r>
        <w:rPr>
          <w:sz w:val="24"/>
        </w:rPr>
        <w:tab/>
      </w:r>
      <w:r w:rsidRPr="0019500D">
        <w:rPr>
          <w:i/>
          <w:iCs/>
          <w:sz w:val="24"/>
        </w:rPr>
        <w:t>The</w:t>
      </w:r>
      <w:r w:rsidRPr="0019500D">
        <w:rPr>
          <w:sz w:val="24"/>
        </w:rPr>
        <w:t xml:space="preserve"> </w:t>
      </w:r>
      <w:r w:rsidRPr="0019500D">
        <w:rPr>
          <w:i/>
          <w:iCs/>
          <w:sz w:val="24"/>
        </w:rPr>
        <w:t>committee shall submit recommendations concerning the application of building codes and related Department rules and standards to the Hospital Licensing Board for review and comment prior to submission to the Department.  The</w:t>
      </w:r>
      <w:r w:rsidRPr="0019500D">
        <w:rPr>
          <w:sz w:val="24"/>
        </w:rPr>
        <w:t xml:space="preserve"> </w:t>
      </w:r>
      <w:r w:rsidRPr="0019500D">
        <w:rPr>
          <w:i/>
          <w:iCs/>
          <w:sz w:val="24"/>
        </w:rPr>
        <w:t>committee shall submit the recommendations concerning</w:t>
      </w:r>
      <w:r w:rsidR="008B6947">
        <w:rPr>
          <w:i/>
          <w:iCs/>
          <w:sz w:val="24"/>
        </w:rPr>
        <w:t xml:space="preserve"> informal dis</w:t>
      </w:r>
      <w:r w:rsidR="0019718A">
        <w:rPr>
          <w:i/>
          <w:iCs/>
          <w:sz w:val="24"/>
        </w:rPr>
        <w:t>pute</w:t>
      </w:r>
      <w:r w:rsidR="008B6947">
        <w:rPr>
          <w:i/>
          <w:iCs/>
          <w:sz w:val="24"/>
        </w:rPr>
        <w:t xml:space="preserve"> </w:t>
      </w:r>
      <w:r w:rsidRPr="0019500D">
        <w:rPr>
          <w:i/>
          <w:iCs/>
          <w:sz w:val="24"/>
        </w:rPr>
        <w:t>resolution to the Director.  The Department shall provide per diem and travel expenses to the</w:t>
      </w:r>
      <w:r w:rsidRPr="0019500D">
        <w:rPr>
          <w:sz w:val="24"/>
        </w:rPr>
        <w:t xml:space="preserve"> </w:t>
      </w:r>
      <w:r w:rsidRPr="0019500D">
        <w:rPr>
          <w:i/>
          <w:iCs/>
          <w:sz w:val="24"/>
        </w:rPr>
        <w:t xml:space="preserve">committee members </w:t>
      </w:r>
      <w:r w:rsidRPr="0019500D">
        <w:rPr>
          <w:sz w:val="24"/>
        </w:rPr>
        <w:t xml:space="preserve">based on the rules of the Department of </w:t>
      </w:r>
      <w:r w:rsidRPr="0019500D">
        <w:rPr>
          <w:sz w:val="24"/>
        </w:rPr>
        <w:lastRenderedPageBreak/>
        <w:t xml:space="preserve">Central Management Services in 80 Ill. Adm. Code 2800 (Travel).  </w:t>
      </w:r>
      <w:r w:rsidR="00EF1128">
        <w:rPr>
          <w:sz w:val="24"/>
        </w:rPr>
        <w:t xml:space="preserve">(Section 2310-560(b) of the Department of Public Health Powers and Duties Law of the Civil Administrative Code of </w:t>
      </w:r>
      <w:smartTag w:uri="urn:schemas-microsoft-com:office:smarttags" w:element="State">
        <w:smartTag w:uri="urn:schemas-microsoft-com:office:smarttags" w:element="place">
          <w:r w:rsidR="00EF1128">
            <w:rPr>
              <w:sz w:val="24"/>
            </w:rPr>
            <w:t>Illinois</w:t>
          </w:r>
        </w:smartTag>
      </w:smartTag>
      <w:r w:rsidR="00EF1128">
        <w:rPr>
          <w:sz w:val="24"/>
        </w:rPr>
        <w:t xml:space="preserve">) </w:t>
      </w:r>
      <w:r w:rsidRPr="0019500D">
        <w:rPr>
          <w:sz w:val="24"/>
        </w:rPr>
        <w:t xml:space="preserve">Payment shall be made through the Health Facility Plan Review Fund. </w:t>
      </w:r>
    </w:p>
    <w:p w:rsidR="00EF1128" w:rsidRDefault="00EF1128" w:rsidP="0019500D">
      <w:pPr>
        <w:ind w:left="1440" w:hanging="720"/>
        <w:rPr>
          <w:sz w:val="24"/>
        </w:rPr>
      </w:pPr>
    </w:p>
    <w:p w:rsidR="0019500D" w:rsidRPr="0019500D" w:rsidRDefault="0019500D" w:rsidP="0019500D">
      <w:pPr>
        <w:ind w:left="1440" w:hanging="720"/>
        <w:rPr>
          <w:sz w:val="24"/>
        </w:rPr>
      </w:pPr>
      <w:r w:rsidRPr="0019500D">
        <w:rPr>
          <w:sz w:val="24"/>
        </w:rPr>
        <w:t>f)</w:t>
      </w:r>
      <w:r>
        <w:rPr>
          <w:sz w:val="24"/>
        </w:rPr>
        <w:tab/>
      </w:r>
      <w:r w:rsidRPr="0019500D">
        <w:rPr>
          <w:sz w:val="24"/>
        </w:rPr>
        <w:t>The Department shall review the construction requirements contained in this Part every three years and shall update the requirements as necessary, considering the recommendations of the advisory committee.</w:t>
      </w:r>
    </w:p>
    <w:p w:rsidR="0019500D" w:rsidRPr="0019500D" w:rsidRDefault="0019500D" w:rsidP="0019500D">
      <w:pPr>
        <w:rPr>
          <w:sz w:val="24"/>
        </w:rPr>
      </w:pPr>
    </w:p>
    <w:p w:rsidR="0019500D" w:rsidRPr="002A4C38" w:rsidRDefault="0019500D">
      <w:pPr>
        <w:pStyle w:val="JCARSourceNote"/>
        <w:ind w:firstLine="720"/>
        <w:rPr>
          <w:sz w:val="24"/>
          <w:rPrChange w:id="1" w:author="claypoolkr" w:date="2004-04-20T14:05:00Z">
            <w:rPr/>
          </w:rPrChange>
        </w:rPr>
      </w:pPr>
      <w:r w:rsidRPr="002A4C38">
        <w:rPr>
          <w:sz w:val="24"/>
          <w:rPrChange w:id="2" w:author="claypoolkr" w:date="2004-04-20T14:05:00Z">
            <w:rPr/>
          </w:rPrChange>
        </w:rPr>
        <w:t xml:space="preserve">(Source:  Added at 27 Ill. Reg. </w:t>
      </w:r>
      <w:r w:rsidR="00FD6483">
        <w:rPr>
          <w:sz w:val="24"/>
        </w:rPr>
        <w:t>6579</w:t>
      </w:r>
      <w:r w:rsidRPr="002A4C38">
        <w:rPr>
          <w:sz w:val="24"/>
          <w:rPrChange w:id="3" w:author="claypoolkr" w:date="2004-04-20T14:05:00Z">
            <w:rPr/>
          </w:rPrChange>
        </w:rPr>
        <w:t xml:space="preserve">, effective </w:t>
      </w:r>
      <w:r w:rsidR="00FD6483">
        <w:rPr>
          <w:sz w:val="24"/>
        </w:rPr>
        <w:t>April 15, 2004</w:t>
      </w:r>
      <w:r w:rsidRPr="002A4C38">
        <w:rPr>
          <w:sz w:val="24"/>
          <w:rPrChange w:id="4" w:author="claypoolkr" w:date="2004-04-20T14:05:00Z">
            <w:rPr/>
          </w:rPrChange>
        </w:rPr>
        <w:t>)</w:t>
      </w:r>
    </w:p>
    <w:sectPr w:rsidR="0019500D" w:rsidRPr="002A4C3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588B">
      <w:r>
        <w:separator/>
      </w:r>
    </w:p>
  </w:endnote>
  <w:endnote w:type="continuationSeparator" w:id="0">
    <w:p w:rsidR="00000000" w:rsidRDefault="00E6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588B">
      <w:r>
        <w:separator/>
      </w:r>
    </w:p>
  </w:footnote>
  <w:footnote w:type="continuationSeparator" w:id="0">
    <w:p w:rsidR="00000000" w:rsidRDefault="00E65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7342"/>
    <w:rsid w:val="000D225F"/>
    <w:rsid w:val="00136B47"/>
    <w:rsid w:val="00150267"/>
    <w:rsid w:val="0019500D"/>
    <w:rsid w:val="0019718A"/>
    <w:rsid w:val="001C7D95"/>
    <w:rsid w:val="001E3074"/>
    <w:rsid w:val="00225354"/>
    <w:rsid w:val="002524EC"/>
    <w:rsid w:val="002A4C38"/>
    <w:rsid w:val="002A643F"/>
    <w:rsid w:val="00337CEB"/>
    <w:rsid w:val="00367A2E"/>
    <w:rsid w:val="003F3A28"/>
    <w:rsid w:val="003F5FD7"/>
    <w:rsid w:val="00431CFE"/>
    <w:rsid w:val="004461A1"/>
    <w:rsid w:val="004C4365"/>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B6947"/>
    <w:rsid w:val="008D4EA0"/>
    <w:rsid w:val="00935A8C"/>
    <w:rsid w:val="0098276C"/>
    <w:rsid w:val="009C4011"/>
    <w:rsid w:val="009C4FD4"/>
    <w:rsid w:val="00A174BB"/>
    <w:rsid w:val="00A2265D"/>
    <w:rsid w:val="00A414BC"/>
    <w:rsid w:val="00A600AA"/>
    <w:rsid w:val="00A62F7E"/>
    <w:rsid w:val="00A86DD4"/>
    <w:rsid w:val="00AB29C6"/>
    <w:rsid w:val="00AE120A"/>
    <w:rsid w:val="00AE1744"/>
    <w:rsid w:val="00AE5547"/>
    <w:rsid w:val="00B07E7E"/>
    <w:rsid w:val="00B31598"/>
    <w:rsid w:val="00B35D67"/>
    <w:rsid w:val="00B516F7"/>
    <w:rsid w:val="00B66925"/>
    <w:rsid w:val="00B71177"/>
    <w:rsid w:val="00B876EC"/>
    <w:rsid w:val="00B94850"/>
    <w:rsid w:val="00BF5EF1"/>
    <w:rsid w:val="00C4537A"/>
    <w:rsid w:val="00CC13F9"/>
    <w:rsid w:val="00CD3723"/>
    <w:rsid w:val="00D55B37"/>
    <w:rsid w:val="00D62188"/>
    <w:rsid w:val="00D735B8"/>
    <w:rsid w:val="00D93C67"/>
    <w:rsid w:val="00E6588B"/>
    <w:rsid w:val="00E7288E"/>
    <w:rsid w:val="00E95503"/>
    <w:rsid w:val="00EB424E"/>
    <w:rsid w:val="00EF1128"/>
    <w:rsid w:val="00F43DEE"/>
    <w:rsid w:val="00FB1E43"/>
    <w:rsid w:val="00FC1ADA"/>
    <w:rsid w:val="00FD648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00D"/>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alloonText">
    <w:name w:val="Balloon Text"/>
    <w:basedOn w:val="Normal"/>
    <w:link w:val="BalloonTextChar"/>
    <w:uiPriority w:val="99"/>
    <w:semiHidden/>
    <w:unhideWhenUsed/>
    <w:rsid w:val="00B94850"/>
    <w:rPr>
      <w:rFonts w:ascii="Tahoma" w:hAnsi="Tahoma" w:cs="Tahoma"/>
      <w:sz w:val="16"/>
      <w:szCs w:val="16"/>
    </w:rPr>
  </w:style>
  <w:style w:type="character" w:customStyle="1" w:styleId="BalloonTextChar">
    <w:name w:val="Balloon Text Char"/>
    <w:basedOn w:val="DefaultParagraphFont"/>
    <w:link w:val="BalloonText"/>
    <w:uiPriority w:val="99"/>
    <w:semiHidden/>
    <w:rsid w:val="00B94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00D"/>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alloonText">
    <w:name w:val="Balloon Text"/>
    <w:basedOn w:val="Normal"/>
    <w:link w:val="BalloonTextChar"/>
    <w:uiPriority w:val="99"/>
    <w:semiHidden/>
    <w:unhideWhenUsed/>
    <w:rsid w:val="00B94850"/>
    <w:rPr>
      <w:rFonts w:ascii="Tahoma" w:hAnsi="Tahoma" w:cs="Tahoma"/>
      <w:sz w:val="16"/>
      <w:szCs w:val="16"/>
    </w:rPr>
  </w:style>
  <w:style w:type="character" w:customStyle="1" w:styleId="BalloonTextChar">
    <w:name w:val="Balloon Text Char"/>
    <w:basedOn w:val="DefaultParagraphFont"/>
    <w:link w:val="BalloonText"/>
    <w:uiPriority w:val="99"/>
    <w:semiHidden/>
    <w:rsid w:val="00B94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2012-06-21T23:11:00Z</dcterms:created>
  <dcterms:modified xsi:type="dcterms:W3CDTF">2012-06-21T23:11:00Z</dcterms:modified>
</cp:coreProperties>
</file>