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7A" w:rsidRDefault="0079417A" w:rsidP="0079417A">
      <w:pPr>
        <w:rPr>
          <w:b/>
        </w:rPr>
      </w:pPr>
    </w:p>
    <w:p w:rsidR="00C93E2B" w:rsidRPr="0079417A" w:rsidRDefault="00C93E2B" w:rsidP="0079417A">
      <w:pPr>
        <w:rPr>
          <w:b/>
        </w:rPr>
      </w:pPr>
      <w:bookmarkStart w:id="0" w:name="_GoBack"/>
      <w:bookmarkEnd w:id="0"/>
      <w:r w:rsidRPr="0079417A">
        <w:rPr>
          <w:b/>
        </w:rPr>
        <w:t>Section 150.300  Applicability</w:t>
      </w:r>
    </w:p>
    <w:p w:rsidR="00C93E2B" w:rsidRPr="0079417A" w:rsidRDefault="00C93E2B" w:rsidP="0079417A"/>
    <w:p w:rsidR="00C93E2B" w:rsidRPr="0079417A" w:rsidRDefault="00C93E2B" w:rsidP="0079417A">
      <w:r w:rsidRPr="0079417A">
        <w:t xml:space="preserve">The Act and this Part do </w:t>
      </w:r>
      <w:r w:rsidRPr="0079417A">
        <w:rPr>
          <w:i/>
        </w:rPr>
        <w:t>not apply to nonprofit blood banks or the affiliated laboratories of nonprofit blood banks</w:t>
      </w:r>
      <w:r w:rsidRPr="0079417A">
        <w:t>.  (Section 2310-218(d) of the Act)</w:t>
      </w:r>
    </w:p>
    <w:sectPr w:rsidR="00C93E2B" w:rsidRPr="0079417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2B" w:rsidRDefault="00C93E2B">
      <w:r>
        <w:separator/>
      </w:r>
    </w:p>
  </w:endnote>
  <w:endnote w:type="continuationSeparator" w:id="0">
    <w:p w:rsidR="00C93E2B" w:rsidRDefault="00C9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2B" w:rsidRDefault="00C93E2B">
      <w:r>
        <w:separator/>
      </w:r>
    </w:p>
  </w:footnote>
  <w:footnote w:type="continuationSeparator" w:id="0">
    <w:p w:rsidR="00C93E2B" w:rsidRDefault="00C93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17A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E2B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F9323-AAE8-4075-9C01-5CF77780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2</cp:revision>
  <dcterms:created xsi:type="dcterms:W3CDTF">2021-08-13T15:00:00Z</dcterms:created>
  <dcterms:modified xsi:type="dcterms:W3CDTF">2021-08-13T15:29:00Z</dcterms:modified>
</cp:coreProperties>
</file>