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11" w:rsidRDefault="00341911" w:rsidP="00341911">
      <w:pPr>
        <w:widowControl w:val="0"/>
        <w:autoSpaceDE w:val="0"/>
        <w:autoSpaceDN w:val="0"/>
        <w:adjustRightInd w:val="0"/>
      </w:pPr>
      <w:bookmarkStart w:id="0" w:name="_GoBack"/>
      <w:bookmarkEnd w:id="0"/>
    </w:p>
    <w:p w:rsidR="00341911" w:rsidRDefault="00341911" w:rsidP="00341911">
      <w:pPr>
        <w:widowControl w:val="0"/>
        <w:autoSpaceDE w:val="0"/>
        <w:autoSpaceDN w:val="0"/>
        <w:adjustRightInd w:val="0"/>
      </w:pPr>
      <w:r>
        <w:rPr>
          <w:b/>
          <w:bCs/>
        </w:rPr>
        <w:t>Section 790.80  Death of Claimant</w:t>
      </w:r>
      <w:r>
        <w:t xml:space="preserve"> </w:t>
      </w:r>
    </w:p>
    <w:p w:rsidR="00341911" w:rsidRDefault="00341911" w:rsidP="00341911">
      <w:pPr>
        <w:widowControl w:val="0"/>
        <w:autoSpaceDE w:val="0"/>
        <w:autoSpaceDN w:val="0"/>
        <w:adjustRightInd w:val="0"/>
      </w:pPr>
    </w:p>
    <w:p w:rsidR="00341911" w:rsidRDefault="00341911" w:rsidP="00341911">
      <w:pPr>
        <w:widowControl w:val="0"/>
        <w:autoSpaceDE w:val="0"/>
        <w:autoSpaceDN w:val="0"/>
        <w:adjustRightInd w:val="0"/>
      </w:pPr>
      <w:r>
        <w:t xml:space="preserve">If the claimant dies pending the suit, the death must be suggested on the record, and the legal representative upon filing a duly certified copy of the record of appointment as executor or administrator, may be admitted to prosecute the suit by special leave of the Court. It is the duty of the claimant's attorney to notify the Court of the death of the claimant when the fact first becomes known to him. </w:t>
      </w:r>
    </w:p>
    <w:sectPr w:rsidR="00341911" w:rsidSect="003419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911"/>
    <w:rsid w:val="00111F26"/>
    <w:rsid w:val="00111F56"/>
    <w:rsid w:val="00341911"/>
    <w:rsid w:val="004D688A"/>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2012-06-21T22:49:00Z</dcterms:created>
  <dcterms:modified xsi:type="dcterms:W3CDTF">2012-06-21T22:49:00Z</dcterms:modified>
</cp:coreProperties>
</file>