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A" w:rsidRDefault="00E71FEA" w:rsidP="00202AA9"/>
    <w:p w:rsidR="00202AA9" w:rsidRPr="00E71FEA" w:rsidRDefault="00202AA9" w:rsidP="00202AA9">
      <w:pPr>
        <w:rPr>
          <w:b/>
        </w:rPr>
      </w:pPr>
      <w:r w:rsidRPr="00E71FEA">
        <w:rPr>
          <w:b/>
        </w:rPr>
        <w:t>Section 730.310  Burden of Proof</w:t>
      </w:r>
    </w:p>
    <w:p w:rsidR="00202AA9" w:rsidRPr="00202AA9" w:rsidRDefault="00202AA9" w:rsidP="00202AA9"/>
    <w:p w:rsidR="00202AA9" w:rsidRPr="00202AA9" w:rsidRDefault="00202AA9" w:rsidP="00202AA9">
      <w:r w:rsidRPr="00202AA9">
        <w:t>The burden of proof, which includes both the burden of production and the burden of persuasion, rests with the Petitioner in all cases initiated by the filing of a Petition for Hearing</w:t>
      </w:r>
      <w:r w:rsidR="002033D0">
        <w:t xml:space="preserve"> or</w:t>
      </w:r>
      <w:bookmarkStart w:id="0" w:name="_GoBack"/>
      <w:bookmarkEnd w:id="0"/>
      <w:r w:rsidRPr="00202AA9">
        <w:t xml:space="preserve"> with the Treasurer in all cases initiated by the filing of a Notice of Hearing.</w:t>
      </w:r>
    </w:p>
    <w:sectPr w:rsidR="00202AA9" w:rsidRPr="00202A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A9" w:rsidRDefault="00202AA9">
      <w:r>
        <w:separator/>
      </w:r>
    </w:p>
  </w:endnote>
  <w:endnote w:type="continuationSeparator" w:id="0">
    <w:p w:rsidR="00202AA9" w:rsidRDefault="0020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A9" w:rsidRDefault="00202AA9">
      <w:r>
        <w:separator/>
      </w:r>
    </w:p>
  </w:footnote>
  <w:footnote w:type="continuationSeparator" w:id="0">
    <w:p w:rsidR="00202AA9" w:rsidRDefault="0020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AA9"/>
    <w:rsid w:val="002033D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FEA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8A41-A83B-4EF6-A13B-B96A5ECC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250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2017-08-09T15:24:00Z</dcterms:created>
  <dcterms:modified xsi:type="dcterms:W3CDTF">2018-02-21T17:56:00Z</dcterms:modified>
</cp:coreProperties>
</file>