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45" w:rsidRDefault="008F1F45" w:rsidP="008F1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F45" w:rsidRDefault="008F1F45" w:rsidP="008F1F45">
      <w:pPr>
        <w:widowControl w:val="0"/>
        <w:autoSpaceDE w:val="0"/>
        <w:autoSpaceDN w:val="0"/>
        <w:adjustRightInd w:val="0"/>
      </w:pPr>
      <w:r>
        <w:t xml:space="preserve">AUTHORITY:  Implementing and authorized by Section 15 of the Capital Crimes Litigation Trust Fund Act [725 ILCS 5/101-15]. </w:t>
      </w:r>
    </w:p>
    <w:sectPr w:rsidR="008F1F45" w:rsidSect="008F1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F45"/>
    <w:rsid w:val="005C3366"/>
    <w:rsid w:val="00872F24"/>
    <w:rsid w:val="008F1F45"/>
    <w:rsid w:val="00E137C7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 of the Capital Crimes Litigation Trust Fund Act [725 ILCS 5/101-15]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 of the Capital Crimes Litigation Trust Fund Act [725 ILCS 5/101-15]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