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20" w:rsidRPr="005E7F20" w:rsidRDefault="005E7F20" w:rsidP="00C0099B">
      <w:pPr>
        <w:widowControl w:val="0"/>
        <w:autoSpaceDE w:val="0"/>
        <w:autoSpaceDN w:val="0"/>
        <w:adjustRightInd w:val="0"/>
        <w:rPr>
          <w:b/>
        </w:rPr>
      </w:pPr>
    </w:p>
    <w:p w:rsidR="005E7F20" w:rsidRPr="005E7F20" w:rsidRDefault="00C0099B" w:rsidP="00C009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r w:rsidR="005E7F20" w:rsidRPr="005E7F20">
        <w:rPr>
          <w:b/>
        </w:rPr>
        <w:t>721.530  Limits on Investment and Direction</w:t>
      </w:r>
    </w:p>
    <w:p w:rsidR="005E7F20" w:rsidRPr="005E7F20" w:rsidRDefault="005E7F20" w:rsidP="00C0099B"/>
    <w:p w:rsidR="005E7F20" w:rsidRPr="005E7F20" w:rsidRDefault="005E7F20" w:rsidP="005E7F20">
      <w:pPr>
        <w:ind w:left="1440" w:hanging="720"/>
      </w:pPr>
      <w:r>
        <w:t>a)</w:t>
      </w:r>
      <w:r>
        <w:tab/>
      </w:r>
      <w:r w:rsidRPr="005E7F20">
        <w:t>The Board may set limits on the number of times participants can change the investment options of their contributions or adjust their contribution rate in any calendar year.</w:t>
      </w:r>
    </w:p>
    <w:p w:rsidR="005E7F20" w:rsidRPr="005E7F20" w:rsidRDefault="005E7F20" w:rsidP="00A746F5"/>
    <w:p w:rsidR="005E7F20" w:rsidRPr="005E7F20" w:rsidRDefault="005E7F20" w:rsidP="005E7F20">
      <w:pPr>
        <w:ind w:left="1440" w:hanging="720"/>
      </w:pPr>
      <w:r>
        <w:t>b)</w:t>
      </w:r>
      <w:r>
        <w:tab/>
      </w:r>
      <w:r w:rsidRPr="005E7F20">
        <w:t>The Board shall select a default contribution rate for participants within the range of 3% to 6% of a participant</w:t>
      </w:r>
      <w:r>
        <w:t>'</w:t>
      </w:r>
      <w:r w:rsidRPr="005E7F20">
        <w:t>s wages.</w:t>
      </w:r>
    </w:p>
    <w:p w:rsidR="005E7F20" w:rsidRPr="005E7F20" w:rsidRDefault="005E7F20" w:rsidP="00A746F5">
      <w:bookmarkStart w:id="0" w:name="_GoBack"/>
      <w:bookmarkEnd w:id="0"/>
    </w:p>
    <w:p w:rsidR="005E7F20" w:rsidRPr="005E7F20" w:rsidRDefault="005E7F20" w:rsidP="005E7F20">
      <w:pPr>
        <w:ind w:left="1440" w:hanging="720"/>
      </w:pPr>
      <w:r>
        <w:t>c)</w:t>
      </w:r>
      <w:r>
        <w:tab/>
      </w:r>
      <w:r w:rsidRPr="005E7F20">
        <w:t>The Board shall select a default investment option for the accounts, in accordance with Section 721.330.</w:t>
      </w:r>
    </w:p>
    <w:sectPr w:rsidR="005E7F20" w:rsidRPr="005E7F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29" w:rsidRDefault="00565329">
      <w:r>
        <w:separator/>
      </w:r>
    </w:p>
  </w:endnote>
  <w:endnote w:type="continuationSeparator" w:id="0">
    <w:p w:rsidR="00565329" w:rsidRDefault="0056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29" w:rsidRDefault="00565329">
      <w:r>
        <w:separator/>
      </w:r>
    </w:p>
  </w:footnote>
  <w:footnote w:type="continuationSeparator" w:id="0">
    <w:p w:rsidR="00565329" w:rsidRDefault="0056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F65CE"/>
    <w:multiLevelType w:val="hybridMultilevel"/>
    <w:tmpl w:val="65A86FD6"/>
    <w:lvl w:ilvl="0" w:tplc="D05E36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32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F2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6F5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99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97589-5A95-4314-941A-4ECA37AD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rmalBold">
    <w:name w:val="Normal + Bold"/>
    <w:basedOn w:val="Normal"/>
    <w:uiPriority w:val="99"/>
    <w:rsid w:val="00565329"/>
    <w:pPr>
      <w:spacing w:before="120" w:after="240"/>
      <w:ind w:right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392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2018-04-18T20:06:00Z</dcterms:created>
  <dcterms:modified xsi:type="dcterms:W3CDTF">2018-10-10T16:36:00Z</dcterms:modified>
</cp:coreProperties>
</file>