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F8" w:rsidRDefault="001401F8" w:rsidP="001401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01F8" w:rsidRDefault="001401F8" w:rsidP="001401F8">
      <w:pPr>
        <w:widowControl w:val="0"/>
        <w:autoSpaceDE w:val="0"/>
        <w:autoSpaceDN w:val="0"/>
        <w:adjustRightInd w:val="0"/>
        <w:jc w:val="center"/>
      </w:pPr>
      <w:r>
        <w:t>SUBPART I:  FINANCIAL ADMINISTRATION OF THE</w:t>
      </w:r>
    </w:p>
    <w:p w:rsidR="001401F8" w:rsidRDefault="001401F8" w:rsidP="001401F8">
      <w:pPr>
        <w:widowControl w:val="0"/>
        <w:autoSpaceDE w:val="0"/>
        <w:autoSpaceDN w:val="0"/>
        <w:adjustRightInd w:val="0"/>
        <w:jc w:val="center"/>
      </w:pPr>
      <w:r>
        <w:t>STATE AUDIT ADVISORY BOARD</w:t>
      </w:r>
    </w:p>
    <w:sectPr w:rsidR="001401F8" w:rsidSect="001401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01F8"/>
    <w:rsid w:val="001401F8"/>
    <w:rsid w:val="005C3366"/>
    <w:rsid w:val="0067737B"/>
    <w:rsid w:val="00D74082"/>
    <w:rsid w:val="00E1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FINANCIAL ADMINISTRATION OF THE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FINANCIAL ADMINISTRATION OF THE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