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C4" w:rsidRDefault="007E13C4" w:rsidP="007E13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13C4" w:rsidRDefault="007E13C4" w:rsidP="007E13C4">
      <w:pPr>
        <w:widowControl w:val="0"/>
        <w:autoSpaceDE w:val="0"/>
        <w:autoSpaceDN w:val="0"/>
        <w:adjustRightInd w:val="0"/>
      </w:pPr>
      <w:r>
        <w:t xml:space="preserve">AUTHORITY:  Implementing and authorized by Section 22(b) of the State Comptroller Act (Ill. Rev. Stat. 1987, ch. 15, par. 222(b)). </w:t>
      </w:r>
    </w:p>
    <w:sectPr w:rsidR="007E13C4" w:rsidSect="007E13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13C4"/>
    <w:rsid w:val="00040212"/>
    <w:rsid w:val="005C3366"/>
    <w:rsid w:val="006B6DBF"/>
    <w:rsid w:val="007E13C4"/>
    <w:rsid w:val="0095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22(b) of the State Comptroller Act (Ill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22(b) of the State Comptroller Act (Ill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