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1A" w:rsidRDefault="00BC471A" w:rsidP="00BC47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71A" w:rsidRDefault="00BC471A" w:rsidP="00BC47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2300.80  Rental of Rooms in a Private Home</w:t>
      </w:r>
      <w:r>
        <w:t xml:space="preserve"> </w:t>
      </w:r>
    </w:p>
    <w:p w:rsidR="00BC471A" w:rsidRDefault="00BC471A" w:rsidP="00BC471A">
      <w:pPr>
        <w:widowControl w:val="0"/>
        <w:autoSpaceDE w:val="0"/>
        <w:autoSpaceDN w:val="0"/>
        <w:adjustRightInd w:val="0"/>
      </w:pPr>
    </w:p>
    <w:p w:rsidR="00BC471A" w:rsidRDefault="00BC471A" w:rsidP="00BC471A">
      <w:pPr>
        <w:widowControl w:val="0"/>
        <w:autoSpaceDE w:val="0"/>
        <w:autoSpaceDN w:val="0"/>
        <w:adjustRightInd w:val="0"/>
      </w:pPr>
      <w:r>
        <w:t xml:space="preserve">In determining whether an exemption exists under Section 3-106(C) of the Act, a housing accommodation will be considered to be a private home if it contains living quarters occupied, or intended to be occupied, by no more than four families living independently of each other. </w:t>
      </w:r>
    </w:p>
    <w:sectPr w:rsidR="00BC471A" w:rsidSect="00BC47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71A"/>
    <w:rsid w:val="004441D8"/>
    <w:rsid w:val="005C3366"/>
    <w:rsid w:val="00BC471A"/>
    <w:rsid w:val="00D3756E"/>
    <w:rsid w:val="00E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2300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