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0D" w:rsidRDefault="00A8650D" w:rsidP="00A865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650D" w:rsidRDefault="00A8650D" w:rsidP="00A865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41.120  Construction Bonds</w:t>
      </w:r>
      <w:r>
        <w:t xml:space="preserve"> </w:t>
      </w:r>
    </w:p>
    <w:p w:rsidR="00A8650D" w:rsidRDefault="00A8650D" w:rsidP="00A8650D">
      <w:pPr>
        <w:widowControl w:val="0"/>
        <w:autoSpaceDE w:val="0"/>
        <w:autoSpaceDN w:val="0"/>
        <w:adjustRightInd w:val="0"/>
      </w:pPr>
    </w:p>
    <w:p w:rsidR="00A8650D" w:rsidRDefault="00A8650D" w:rsidP="00A8650D">
      <w:pPr>
        <w:widowControl w:val="0"/>
        <w:autoSpaceDE w:val="0"/>
        <w:autoSpaceDN w:val="0"/>
        <w:adjustRightInd w:val="0"/>
      </w:pPr>
      <w:r>
        <w:t xml:space="preserve">If the grantee does not have established procedures and contractual provisions requiring construction contractors to provide bonds, CDB may require the grantee to require that its construction contractors obtain a bid bond in the amount of 10% of the bid, a performance bond in the full amount of the bid, and a separate labor and materials payment bond in the full amount of the bid. </w:t>
      </w:r>
    </w:p>
    <w:sectPr w:rsidR="00A8650D" w:rsidSect="00A86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650D"/>
    <w:rsid w:val="00556DC4"/>
    <w:rsid w:val="005C3366"/>
    <w:rsid w:val="00803DFE"/>
    <w:rsid w:val="0082251D"/>
    <w:rsid w:val="00A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