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45" w:rsidRDefault="00F33A45" w:rsidP="00F33A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3A45" w:rsidRDefault="00F33A45" w:rsidP="00F33A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41.115  Fidelity Bond</w:t>
      </w:r>
      <w:r>
        <w:t xml:space="preserve"> </w:t>
      </w:r>
    </w:p>
    <w:p w:rsidR="00F33A45" w:rsidRDefault="00F33A45" w:rsidP="00F33A45">
      <w:pPr>
        <w:widowControl w:val="0"/>
        <w:autoSpaceDE w:val="0"/>
        <w:autoSpaceDN w:val="0"/>
        <w:adjustRightInd w:val="0"/>
      </w:pPr>
    </w:p>
    <w:p w:rsidR="00F33A45" w:rsidRDefault="00F33A45" w:rsidP="00F33A45">
      <w:pPr>
        <w:widowControl w:val="0"/>
        <w:autoSpaceDE w:val="0"/>
        <w:autoSpaceDN w:val="0"/>
        <w:adjustRightInd w:val="0"/>
      </w:pPr>
      <w:r>
        <w:t xml:space="preserve">CDB may require a grantee to obtain a fidelity bond in the amount of 125% of the grant amount.  In making the determination whether a bond shall be required, CDB shall consider one or more of, but will not be limited to, the following: </w:t>
      </w:r>
    </w:p>
    <w:p w:rsidR="00E31754" w:rsidRDefault="00E31754" w:rsidP="00F33A45">
      <w:pPr>
        <w:widowControl w:val="0"/>
        <w:autoSpaceDE w:val="0"/>
        <w:autoSpaceDN w:val="0"/>
        <w:adjustRightInd w:val="0"/>
      </w:pPr>
    </w:p>
    <w:p w:rsidR="00F33A45" w:rsidRDefault="00F33A45" w:rsidP="00F33A4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size of the grant; </w:t>
      </w:r>
    </w:p>
    <w:p w:rsidR="00E31754" w:rsidRDefault="00E31754" w:rsidP="00F33A45">
      <w:pPr>
        <w:widowControl w:val="0"/>
        <w:autoSpaceDE w:val="0"/>
        <w:autoSpaceDN w:val="0"/>
        <w:adjustRightInd w:val="0"/>
        <w:ind w:left="1440" w:hanging="720"/>
      </w:pPr>
    </w:p>
    <w:p w:rsidR="00F33A45" w:rsidRDefault="00F33A45" w:rsidP="00F33A4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nature of the project; </w:t>
      </w:r>
    </w:p>
    <w:p w:rsidR="00E31754" w:rsidRDefault="00E31754" w:rsidP="00F33A45">
      <w:pPr>
        <w:widowControl w:val="0"/>
        <w:autoSpaceDE w:val="0"/>
        <w:autoSpaceDN w:val="0"/>
        <w:adjustRightInd w:val="0"/>
        <w:ind w:left="1440" w:hanging="720"/>
      </w:pPr>
    </w:p>
    <w:p w:rsidR="00F33A45" w:rsidRDefault="00F33A45" w:rsidP="00F33A4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Whether the grantee is a unit of government or a private entity; or </w:t>
      </w:r>
    </w:p>
    <w:p w:rsidR="00E31754" w:rsidRDefault="00E31754" w:rsidP="00F33A45">
      <w:pPr>
        <w:widowControl w:val="0"/>
        <w:autoSpaceDE w:val="0"/>
        <w:autoSpaceDN w:val="0"/>
        <w:adjustRightInd w:val="0"/>
        <w:ind w:left="1440" w:hanging="720"/>
      </w:pPr>
    </w:p>
    <w:p w:rsidR="00F33A45" w:rsidRDefault="00F33A45" w:rsidP="00F33A4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grantee's past experience in similar projects or financial matters. </w:t>
      </w:r>
    </w:p>
    <w:sectPr w:rsidR="00F33A45" w:rsidSect="00F33A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3A45"/>
    <w:rsid w:val="001B6305"/>
    <w:rsid w:val="004B38F6"/>
    <w:rsid w:val="004D5980"/>
    <w:rsid w:val="005C3366"/>
    <w:rsid w:val="00E31754"/>
    <w:rsid w:val="00F3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</vt:lpstr>
    </vt:vector>
  </TitlesOfParts>
  <Company>State of Illinois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