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0B" w:rsidRDefault="0026140B" w:rsidP="0026140B">
      <w:pPr>
        <w:widowControl w:val="0"/>
        <w:autoSpaceDE w:val="0"/>
        <w:autoSpaceDN w:val="0"/>
        <w:adjustRightInd w:val="0"/>
      </w:pPr>
      <w:bookmarkStart w:id="0" w:name="_GoBack"/>
      <w:bookmarkEnd w:id="0"/>
    </w:p>
    <w:p w:rsidR="0026140B" w:rsidRDefault="0026140B" w:rsidP="0026140B">
      <w:pPr>
        <w:widowControl w:val="0"/>
        <w:autoSpaceDE w:val="0"/>
        <w:autoSpaceDN w:val="0"/>
        <w:adjustRightInd w:val="0"/>
      </w:pPr>
      <w:r>
        <w:rPr>
          <w:b/>
          <w:bCs/>
        </w:rPr>
        <w:t>Section 41.15  Applicability</w:t>
      </w:r>
      <w:r>
        <w:t xml:space="preserve"> </w:t>
      </w:r>
    </w:p>
    <w:p w:rsidR="0026140B" w:rsidRDefault="0026140B" w:rsidP="0026140B">
      <w:pPr>
        <w:widowControl w:val="0"/>
        <w:autoSpaceDE w:val="0"/>
        <w:autoSpaceDN w:val="0"/>
        <w:adjustRightInd w:val="0"/>
      </w:pPr>
    </w:p>
    <w:p w:rsidR="0026140B" w:rsidRDefault="0026140B" w:rsidP="0026140B">
      <w:pPr>
        <w:widowControl w:val="0"/>
        <w:autoSpaceDE w:val="0"/>
        <w:autoSpaceDN w:val="0"/>
        <w:adjustRightInd w:val="0"/>
      </w:pPr>
      <w:r>
        <w:t xml:space="preserve">This Part applies to any grant within the Capital Development Board's jurisdiction regardless of the source of the funds, the nature of the grantee, or the nature of the particular purpose of the grant.  Historically, CDB has been designated as administrator of appropriated State funds from bond funds or the General Revenue Fund.  Grantees have historically included units of local government, such as municipalities, school districts, and fire protection districts, and have also included private organizations, such as colleges, hospitals, and child care centers. Purposes of the grants have included construction projects, such as new buildings, landscaping, remodeling, repairs, and roads, and have also included the purchase of real estate, machinery, equipment, or furnishings. </w:t>
      </w:r>
    </w:p>
    <w:sectPr w:rsidR="0026140B" w:rsidSect="002614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40B"/>
    <w:rsid w:val="0026140B"/>
    <w:rsid w:val="003927F7"/>
    <w:rsid w:val="005C3366"/>
    <w:rsid w:val="007D3CD8"/>
    <w:rsid w:val="00F1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