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4E5D" w14:textId="77777777" w:rsidR="00006A41" w:rsidRDefault="00006A41" w:rsidP="00006A41"/>
    <w:p w14:paraId="05AD44CB" w14:textId="77777777" w:rsidR="00006A41" w:rsidRDefault="00006A41" w:rsidP="00006A41">
      <w:pPr>
        <w:rPr>
          <w:b/>
          <w:bCs/>
        </w:rPr>
      </w:pPr>
      <w:r>
        <w:rPr>
          <w:b/>
          <w:bCs/>
        </w:rPr>
        <w:t>Section 1291.211  Required Documents and Actions for Change of Ownership or Sale or Transfer of a License Application</w:t>
      </w:r>
    </w:p>
    <w:p w14:paraId="6334CEA6" w14:textId="77777777" w:rsidR="00006A41" w:rsidRPr="00C63F83" w:rsidRDefault="00006A41" w:rsidP="00006A41"/>
    <w:p w14:paraId="7BE8AB44" w14:textId="149EB566" w:rsidR="00006A41" w:rsidRDefault="00006A41" w:rsidP="00006A41">
      <w:pPr>
        <w:ind w:left="1440" w:hanging="720"/>
      </w:pPr>
      <w:r>
        <w:t>a)</w:t>
      </w:r>
      <w:r>
        <w:tab/>
        <w:t xml:space="preserve">When requesting approval for a change of ownership or sale or transfer of a license, the following documents or information shall be included as part of the application for approval.  The Department may request any other documents or information </w:t>
      </w:r>
      <w:r w:rsidR="003D5195">
        <w:t xml:space="preserve">to </w:t>
      </w:r>
      <w:r>
        <w:t xml:space="preserve">aid its review of the proposed transaction and </w:t>
      </w:r>
      <w:r w:rsidR="009340EB">
        <w:t>d</w:t>
      </w:r>
      <w:r>
        <w:t xml:space="preserve">ispensing </w:t>
      </w:r>
      <w:r w:rsidR="009340EB">
        <w:t>o</w:t>
      </w:r>
      <w:r>
        <w:t>rganizations are required to produce any document or information the Department requests.</w:t>
      </w:r>
    </w:p>
    <w:p w14:paraId="27FF3E4D" w14:textId="77777777" w:rsidR="00006A41" w:rsidRDefault="00006A41" w:rsidP="00006A41"/>
    <w:p w14:paraId="0605C759" w14:textId="77777777" w:rsidR="00006A41" w:rsidRDefault="00006A41" w:rsidP="00006A41">
      <w:pPr>
        <w:ind w:left="2160" w:hanging="720"/>
      </w:pPr>
      <w:r>
        <w:t>1)</w:t>
      </w:r>
      <w:r>
        <w:tab/>
        <w:t>Written narrative identifying each impacted license, the current ownership of each impacted license, the nature of the proposed transaction, and the proposed new ownership structure as a result of the proposed transaction;</w:t>
      </w:r>
    </w:p>
    <w:p w14:paraId="26BD5DBA" w14:textId="77777777" w:rsidR="00006A41" w:rsidRDefault="00006A41" w:rsidP="00006A41"/>
    <w:p w14:paraId="49C16B7B" w14:textId="77777777" w:rsidR="00006A41" w:rsidRDefault="00006A41" w:rsidP="00006A41">
      <w:pPr>
        <w:ind w:left="2160" w:hanging="720"/>
      </w:pPr>
      <w:r>
        <w:t>2)</w:t>
      </w:r>
      <w:r>
        <w:tab/>
        <w:t>An illustration of the proposed transaction that demonstrates the pre-transaction structure, the transaction, and the post-sale structure;</w:t>
      </w:r>
    </w:p>
    <w:p w14:paraId="1C452F65" w14:textId="77777777" w:rsidR="00006A41" w:rsidRDefault="00006A41" w:rsidP="00006A41"/>
    <w:p w14:paraId="2537E3C6" w14:textId="38F2BB8D" w:rsidR="00006A41" w:rsidRDefault="00006A41" w:rsidP="00006A41">
      <w:pPr>
        <w:ind w:left="720" w:firstLine="720"/>
      </w:pPr>
      <w:r>
        <w:t>3)</w:t>
      </w:r>
      <w:r>
        <w:tab/>
        <w:t>Purchase or transaction agreement;</w:t>
      </w:r>
    </w:p>
    <w:p w14:paraId="6C29F19A" w14:textId="77777777" w:rsidR="00006A41" w:rsidRDefault="00006A41" w:rsidP="00006A41"/>
    <w:p w14:paraId="20269683" w14:textId="760F90E0" w:rsidR="00006A41" w:rsidRDefault="00006A41" w:rsidP="00006A41">
      <w:pPr>
        <w:ind w:left="720" w:firstLine="720"/>
      </w:pPr>
      <w:r>
        <w:t>4)</w:t>
      </w:r>
      <w:r>
        <w:tab/>
        <w:t xml:space="preserve">Operating agreement of the </w:t>
      </w:r>
      <w:r w:rsidR="009340EB">
        <w:t>b</w:t>
      </w:r>
      <w:r>
        <w:t>uyer that will hold the licenses if approved;</w:t>
      </w:r>
    </w:p>
    <w:p w14:paraId="0368D2EB" w14:textId="77777777" w:rsidR="00006A41" w:rsidRDefault="00006A41" w:rsidP="00006A41"/>
    <w:p w14:paraId="6770451B" w14:textId="6847480A" w:rsidR="00006A41" w:rsidRDefault="00006A41" w:rsidP="00006A41">
      <w:pPr>
        <w:ind w:left="2160" w:hanging="720"/>
      </w:pPr>
      <w:r>
        <w:t>5)</w:t>
      </w:r>
      <w:r>
        <w:tab/>
        <w:t xml:space="preserve">Articles of </w:t>
      </w:r>
      <w:r w:rsidR="009340EB">
        <w:t>i</w:t>
      </w:r>
      <w:r>
        <w:t xml:space="preserve">ncorporation of the </w:t>
      </w:r>
      <w:r w:rsidR="003D5195">
        <w:t xml:space="preserve">buyer </w:t>
      </w:r>
      <w:r>
        <w:t>that will hold the licenses if approved;</w:t>
      </w:r>
    </w:p>
    <w:p w14:paraId="5917FE70" w14:textId="77777777" w:rsidR="00006A41" w:rsidRDefault="00006A41" w:rsidP="00006A41"/>
    <w:p w14:paraId="08890288" w14:textId="711D73AF" w:rsidR="00006A41" w:rsidRDefault="00006A41" w:rsidP="00006A41">
      <w:pPr>
        <w:ind w:left="2160" w:hanging="720"/>
      </w:pPr>
      <w:r>
        <w:t>6)</w:t>
      </w:r>
      <w:r>
        <w:tab/>
        <w:t xml:space="preserve">If the </w:t>
      </w:r>
      <w:r w:rsidR="009340EB">
        <w:t>b</w:t>
      </w:r>
      <w:r>
        <w:t>uyer operates any cannabis businesses within any non-Illinois jurisdiction, certification from the jurisdiction of any non-Illinois regulatory body stating the date of issuance of the license, and whether the records of the regulatory body contain any record of disciplinary action taken or pending</w:t>
      </w:r>
      <w:r w:rsidR="0095686C" w:rsidRPr="0095686C">
        <w:t>, or proof from the buyer that after reasonable attempts the buyer was unable to obtain certification</w:t>
      </w:r>
      <w:r>
        <w:t>;</w:t>
      </w:r>
    </w:p>
    <w:p w14:paraId="0B32C7D8" w14:textId="77777777" w:rsidR="00006A41" w:rsidRDefault="00006A41" w:rsidP="00006A41"/>
    <w:p w14:paraId="362951EE" w14:textId="11EBFE15" w:rsidR="00006A41" w:rsidRDefault="00006A41" w:rsidP="00006A41">
      <w:pPr>
        <w:ind w:left="2160" w:hanging="720"/>
      </w:pPr>
      <w:r>
        <w:t>7)</w:t>
      </w:r>
      <w:r>
        <w:tab/>
        <w:t xml:space="preserve">Letters of good standing from the jurisdiction in which the </w:t>
      </w:r>
      <w:r w:rsidR="009340EB">
        <w:t>b</w:t>
      </w:r>
      <w:r>
        <w:t>uyer is incorporated in</w:t>
      </w:r>
      <w:r w:rsidR="0095686C" w:rsidRPr="0095686C">
        <w:t>, or proof from the buyer that after reasonable attempts the buyer was unable to obtain certification</w:t>
      </w:r>
      <w:r>
        <w:t>;</w:t>
      </w:r>
    </w:p>
    <w:p w14:paraId="6A38F498" w14:textId="77777777" w:rsidR="00006A41" w:rsidRDefault="00006A41" w:rsidP="00006A41"/>
    <w:p w14:paraId="260C62F5" w14:textId="4195A374" w:rsidR="00006A41" w:rsidRDefault="00006A41" w:rsidP="00006A41">
      <w:pPr>
        <w:ind w:left="2160" w:hanging="720"/>
      </w:pPr>
      <w:r>
        <w:t>8)</w:t>
      </w:r>
      <w:r>
        <w:tab/>
        <w:t xml:space="preserve">Table of Organization, Ownership, and Control of the post-transaction ownership structure.  </w:t>
      </w:r>
      <w:r w:rsidR="003D5195">
        <w:t xml:space="preserve">The </w:t>
      </w:r>
      <w:r w:rsidR="009340EB">
        <w:t>t</w:t>
      </w:r>
      <w:r>
        <w:t xml:space="preserve">able shall identify all intended </w:t>
      </w:r>
      <w:r w:rsidR="003D5195">
        <w:t xml:space="preserve">proposed </w:t>
      </w:r>
      <w:r w:rsidR="009340EB">
        <w:t>p</w:t>
      </w:r>
      <w:r>
        <w:t xml:space="preserve">rincipal </w:t>
      </w:r>
      <w:r w:rsidR="009340EB">
        <w:t>o</w:t>
      </w:r>
      <w:r>
        <w:t xml:space="preserve">fficers and entities that through direct or indirect means, will manage, own, or control the interest and assets of the license or </w:t>
      </w:r>
      <w:r w:rsidR="003D5195">
        <w:t xml:space="preserve">medical </w:t>
      </w:r>
      <w:r>
        <w:t>registration holder.  If the entities have boards, all board members shall be identified.  The Table of Organization, Ownership and Control sh</w:t>
      </w:r>
      <w:r w:rsidR="003D5195">
        <w:t>all</w:t>
      </w:r>
      <w:r>
        <w:t xml:space="preserve"> also identify the following information:</w:t>
      </w:r>
    </w:p>
    <w:p w14:paraId="443D0E85" w14:textId="77777777" w:rsidR="00006A41" w:rsidRDefault="00006A41" w:rsidP="00006A41"/>
    <w:p w14:paraId="7562E306" w14:textId="53DC2476" w:rsidR="00006A41" w:rsidRDefault="00006A41" w:rsidP="00006A41">
      <w:pPr>
        <w:ind w:left="1440" w:firstLine="720"/>
      </w:pPr>
      <w:r>
        <w:t>A)</w:t>
      </w:r>
      <w:r>
        <w:tab/>
        <w:t>The proposed new management structure including:</w:t>
      </w:r>
    </w:p>
    <w:p w14:paraId="6DAC4DCB" w14:textId="77777777" w:rsidR="00006A41" w:rsidRDefault="00006A41" w:rsidP="00006A41"/>
    <w:p w14:paraId="06316541" w14:textId="043B82FF" w:rsidR="00006A41" w:rsidRDefault="00006A41" w:rsidP="00006A41">
      <w:pPr>
        <w:ind w:left="2160" w:firstLine="720"/>
      </w:pPr>
      <w:proofErr w:type="spellStart"/>
      <w:r>
        <w:lastRenderedPageBreak/>
        <w:t>i</w:t>
      </w:r>
      <w:proofErr w:type="spellEnd"/>
      <w:r>
        <w:t>)</w:t>
      </w:r>
      <w:r>
        <w:tab/>
        <w:t xml:space="preserve">the name of each </w:t>
      </w:r>
      <w:r w:rsidR="009340EB">
        <w:t>b</w:t>
      </w:r>
      <w:r>
        <w:t xml:space="preserve">usiness </w:t>
      </w:r>
      <w:r w:rsidR="009340EB">
        <w:t>e</w:t>
      </w:r>
      <w:r>
        <w:t>ntity;</w:t>
      </w:r>
    </w:p>
    <w:p w14:paraId="30060F82" w14:textId="77777777" w:rsidR="00006A41" w:rsidRDefault="00006A41" w:rsidP="00006A41"/>
    <w:p w14:paraId="738DBE19" w14:textId="05C4045F" w:rsidR="00006A41" w:rsidRDefault="00006A41" w:rsidP="00006A41">
      <w:pPr>
        <w:ind w:left="2160" w:firstLine="720"/>
      </w:pPr>
      <w:r>
        <w:t>ii)</w:t>
      </w:r>
      <w:r>
        <w:tab/>
        <w:t xml:space="preserve">the office or position held by each </w:t>
      </w:r>
      <w:r w:rsidR="003D5195">
        <w:t>i</w:t>
      </w:r>
      <w:r>
        <w:t>ndividual;</w:t>
      </w:r>
    </w:p>
    <w:p w14:paraId="1FC2B70D" w14:textId="77777777" w:rsidR="00006A41" w:rsidRDefault="00006A41" w:rsidP="00006A41"/>
    <w:p w14:paraId="0BF52BD7" w14:textId="651161D8" w:rsidR="00006A41" w:rsidRDefault="00006A41" w:rsidP="00006A41">
      <w:pPr>
        <w:ind w:left="3600" w:hanging="720"/>
      </w:pPr>
      <w:r>
        <w:t>iii)</w:t>
      </w:r>
      <w:r>
        <w:tab/>
        <w:t xml:space="preserve">the percentage ownership interest of each </w:t>
      </w:r>
      <w:r w:rsidR="009340EB">
        <w:t>i</w:t>
      </w:r>
      <w:r>
        <w:t xml:space="preserve">ndividual and </w:t>
      </w:r>
      <w:r w:rsidR="009340EB">
        <w:t>b</w:t>
      </w:r>
      <w:r>
        <w:t xml:space="preserve">usiness </w:t>
      </w:r>
      <w:r w:rsidR="009340EB">
        <w:t>e</w:t>
      </w:r>
      <w:r>
        <w:t>ntity; and</w:t>
      </w:r>
    </w:p>
    <w:p w14:paraId="579FA0D5" w14:textId="77777777" w:rsidR="00006A41" w:rsidRDefault="00006A41" w:rsidP="00006A41"/>
    <w:p w14:paraId="21EA0165" w14:textId="6C38F7EC" w:rsidR="00006A41" w:rsidRDefault="00006A41" w:rsidP="00006A41">
      <w:pPr>
        <w:ind w:left="3600" w:hanging="720"/>
      </w:pPr>
      <w:r>
        <w:t>iv)</w:t>
      </w:r>
      <w:r>
        <w:tab/>
        <w:t xml:space="preserve">if the business entity has a parent company, the name of each parent company's </w:t>
      </w:r>
      <w:r w:rsidR="009340EB">
        <w:t>p</w:t>
      </w:r>
      <w:r>
        <w:t xml:space="preserve">rincipal </w:t>
      </w:r>
      <w:r w:rsidR="009340EB">
        <w:t>o</w:t>
      </w:r>
      <w:r>
        <w:t>fficers and the percentage ownership interest.</w:t>
      </w:r>
    </w:p>
    <w:p w14:paraId="29443664" w14:textId="77777777" w:rsidR="00006A41" w:rsidRDefault="00006A41" w:rsidP="00006A41"/>
    <w:p w14:paraId="38E764BC" w14:textId="42955038" w:rsidR="00006A41" w:rsidRDefault="00006A41" w:rsidP="00006A41">
      <w:pPr>
        <w:ind w:left="2880" w:hanging="720"/>
      </w:pPr>
      <w:r>
        <w:t>B)</w:t>
      </w:r>
      <w:r>
        <w:tab/>
        <w:t xml:space="preserve">All </w:t>
      </w:r>
      <w:r w:rsidR="00301E29">
        <w:t>b</w:t>
      </w:r>
      <w:r>
        <w:t xml:space="preserve">usiness </w:t>
      </w:r>
      <w:r w:rsidR="00301E29">
        <w:t>e</w:t>
      </w:r>
      <w:r>
        <w:t xml:space="preserve">ntities identified in the table must identify each </w:t>
      </w:r>
      <w:r w:rsidR="001B4D59">
        <w:t>i</w:t>
      </w:r>
      <w:r>
        <w:t xml:space="preserve">ndividual's title and ownership share, regardless of whether they meet the definition of a </w:t>
      </w:r>
      <w:r w:rsidR="00301E29">
        <w:t>p</w:t>
      </w:r>
      <w:r>
        <w:t xml:space="preserve">rincipal </w:t>
      </w:r>
      <w:r w:rsidR="00301E29">
        <w:t>o</w:t>
      </w:r>
      <w:r>
        <w:t>fficer.</w:t>
      </w:r>
    </w:p>
    <w:p w14:paraId="201041F0" w14:textId="77777777" w:rsidR="00006A41" w:rsidRDefault="00006A41" w:rsidP="00006A41"/>
    <w:p w14:paraId="2ABE4C29" w14:textId="6A7F1CC4" w:rsidR="00006A41" w:rsidRDefault="00006A41" w:rsidP="00006A41">
      <w:pPr>
        <w:ind w:left="2880" w:hanging="720"/>
      </w:pPr>
      <w:r>
        <w:t>C)</w:t>
      </w:r>
      <w:r>
        <w:tab/>
        <w:t xml:space="preserve">If a </w:t>
      </w:r>
      <w:r w:rsidR="00301E29">
        <w:t>b</w:t>
      </w:r>
      <w:r>
        <w:t xml:space="preserve">usiness </w:t>
      </w:r>
      <w:r w:rsidR="00301E29">
        <w:t>e</w:t>
      </w:r>
      <w:r>
        <w:t>ntity identified in the table is a publicly traded company, the following information shall be provided in the Table of Organization Ownership and Control:</w:t>
      </w:r>
    </w:p>
    <w:p w14:paraId="617C8EAB" w14:textId="77777777" w:rsidR="00006A41" w:rsidRDefault="00006A41" w:rsidP="00006A41"/>
    <w:p w14:paraId="027A24CB" w14:textId="0B4120AE" w:rsidR="00006A41" w:rsidRDefault="00006A41" w:rsidP="00006A41">
      <w:pPr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The name and percentage of ownership interest of each </w:t>
      </w:r>
      <w:r w:rsidR="00301E29">
        <w:t>i</w:t>
      </w:r>
      <w:r>
        <w:t xml:space="preserve">ndividual or </w:t>
      </w:r>
      <w:r w:rsidR="00301E29">
        <w:t>b</w:t>
      </w:r>
      <w:r>
        <w:t xml:space="preserve">usiness </w:t>
      </w:r>
      <w:r w:rsidR="00301E29">
        <w:t>e</w:t>
      </w:r>
      <w:r>
        <w:t xml:space="preserve">ntity with ownership of more than </w:t>
      </w:r>
      <w:r w:rsidR="003D5195">
        <w:t xml:space="preserve">5% </w:t>
      </w:r>
      <w:r>
        <w:t xml:space="preserve">of the voting shares of the entity, to the extent </w:t>
      </w:r>
      <w:r w:rsidR="003D5195">
        <w:t xml:space="preserve">the </w:t>
      </w:r>
      <w:r>
        <w:t xml:space="preserve">information is known or contained in </w:t>
      </w:r>
      <w:proofErr w:type="spellStart"/>
      <w:r>
        <w:t>13D</w:t>
      </w:r>
      <w:proofErr w:type="spellEnd"/>
      <w:r>
        <w:t xml:space="preserve"> or </w:t>
      </w:r>
      <w:proofErr w:type="spellStart"/>
      <w:r>
        <w:t>13G</w:t>
      </w:r>
      <w:proofErr w:type="spellEnd"/>
      <w:r>
        <w:t xml:space="preserve"> </w:t>
      </w:r>
      <w:r w:rsidR="003D5195">
        <w:t xml:space="preserve">U.S. </w:t>
      </w:r>
      <w:r>
        <w:t>Securities and Exchange Commission filings.</w:t>
      </w:r>
    </w:p>
    <w:p w14:paraId="22E23E17" w14:textId="77777777" w:rsidR="00006A41" w:rsidRDefault="00006A41" w:rsidP="00006A41"/>
    <w:p w14:paraId="5C74B0A1" w14:textId="06A7E57D" w:rsidR="00006A41" w:rsidRDefault="00006A41" w:rsidP="00006A41">
      <w:pPr>
        <w:ind w:left="3600" w:hanging="720"/>
      </w:pPr>
      <w:r>
        <w:t>ii)</w:t>
      </w:r>
      <w:r>
        <w:tab/>
        <w:t xml:space="preserve">To the extent known, the names and percentage of interest of ownership of </w:t>
      </w:r>
      <w:r w:rsidR="00301E29">
        <w:t>p</w:t>
      </w:r>
      <w:r>
        <w:t xml:space="preserve">ersons who are relatives of </w:t>
      </w:r>
      <w:r w:rsidR="00A22480">
        <w:t>one</w:t>
      </w:r>
      <w:r>
        <w:t xml:space="preserve"> another and who together exercise control over or own more than 10</w:t>
      </w:r>
      <w:r w:rsidR="003D5195">
        <w:t>%</w:t>
      </w:r>
      <w:r>
        <w:t xml:space="preserve"> of the voting shares of the entity.</w:t>
      </w:r>
    </w:p>
    <w:p w14:paraId="03A8EAC8" w14:textId="77777777" w:rsidR="00006A41" w:rsidRDefault="00006A41" w:rsidP="00006A41"/>
    <w:p w14:paraId="0243A96A" w14:textId="595959B1" w:rsidR="00006A41" w:rsidRDefault="00006A41" w:rsidP="00006A41">
      <w:pPr>
        <w:ind w:left="2160" w:hanging="720"/>
      </w:pPr>
      <w:r>
        <w:t>9)</w:t>
      </w:r>
      <w:r>
        <w:tab/>
        <w:t xml:space="preserve">All proposed </w:t>
      </w:r>
      <w:r w:rsidR="00301E29">
        <w:t>p</w:t>
      </w:r>
      <w:r>
        <w:t xml:space="preserve">rincipal </w:t>
      </w:r>
      <w:r w:rsidR="00301E29">
        <w:t>o</w:t>
      </w:r>
      <w:r>
        <w:t xml:space="preserve">fficers shall submit a </w:t>
      </w:r>
      <w:r w:rsidR="00BF1235">
        <w:t>p</w:t>
      </w:r>
      <w:r>
        <w:t xml:space="preserve">rincipal </w:t>
      </w:r>
      <w:r w:rsidR="00BF1235">
        <w:t>o</w:t>
      </w:r>
      <w:r>
        <w:t xml:space="preserve">fficer application in compliance with </w:t>
      </w:r>
      <w:r w:rsidR="00A22480">
        <w:t>S</w:t>
      </w:r>
      <w:r>
        <w:t>ection 1291.30;</w:t>
      </w:r>
    </w:p>
    <w:p w14:paraId="78C7082B" w14:textId="77777777" w:rsidR="00006A41" w:rsidRDefault="00006A41" w:rsidP="00006A41"/>
    <w:p w14:paraId="06915077" w14:textId="416A6572" w:rsidR="00006A41" w:rsidRDefault="00006A41" w:rsidP="00006A41">
      <w:pPr>
        <w:ind w:left="2160" w:hanging="720"/>
      </w:pPr>
      <w:r>
        <w:t>10)</w:t>
      </w:r>
      <w:r>
        <w:tab/>
        <w:t xml:space="preserve">If a trust has any interest in a </w:t>
      </w:r>
      <w:r w:rsidR="00BF1235">
        <w:t>d</w:t>
      </w:r>
      <w:r>
        <w:t xml:space="preserve">ispensing </w:t>
      </w:r>
      <w:r w:rsidR="00BF1235">
        <w:t>o</w:t>
      </w:r>
      <w:r>
        <w:t xml:space="preserve">rganization license, the </w:t>
      </w:r>
      <w:r w:rsidR="00301E29">
        <w:t>d</w:t>
      </w:r>
      <w:r>
        <w:t xml:space="preserve">ispensing </w:t>
      </w:r>
      <w:r w:rsidR="00301E29">
        <w:t>o</w:t>
      </w:r>
      <w:r>
        <w:t xml:space="preserve">rganization must disclose to the Department the trustee and all beneficiaries of/participants in the trust, on a form or manner prescribed by the Department.  Trust beneficiaries and participants </w:t>
      </w:r>
      <w:r w:rsidR="003D5195">
        <w:t xml:space="preserve">that meet the definition of a principal officer must </w:t>
      </w:r>
      <w:r>
        <w:t xml:space="preserve">register as </w:t>
      </w:r>
      <w:r w:rsidR="00301E29">
        <w:t>p</w:t>
      </w:r>
      <w:r>
        <w:t xml:space="preserve">rincipal </w:t>
      </w:r>
      <w:r w:rsidR="00301E29">
        <w:t>o</w:t>
      </w:r>
      <w:r>
        <w:t xml:space="preserve">fficers.  The Department may not approve a trust if any trust beneficiary or participant is a </w:t>
      </w:r>
      <w:r w:rsidR="00301E29">
        <w:t>p</w:t>
      </w:r>
      <w:r>
        <w:t>erson that is otherwise prohibited from having an ownership interest in the entity.</w:t>
      </w:r>
    </w:p>
    <w:p w14:paraId="0FC88C92" w14:textId="77777777" w:rsidR="00006A41" w:rsidRDefault="00006A41" w:rsidP="00006A41"/>
    <w:p w14:paraId="1BC57E61" w14:textId="0C9F1685" w:rsidR="00006A41" w:rsidRDefault="00006A41" w:rsidP="00006A41">
      <w:pPr>
        <w:ind w:left="2160" w:hanging="720"/>
      </w:pPr>
      <w:r>
        <w:t>11)</w:t>
      </w:r>
      <w:r>
        <w:tab/>
        <w:t xml:space="preserve">Any relevant financial or ownership disclosures of the </w:t>
      </w:r>
      <w:r w:rsidR="00301E29">
        <w:t>b</w:t>
      </w:r>
      <w:r>
        <w:t>uyer, including</w:t>
      </w:r>
      <w:r w:rsidR="00892646">
        <w:t>,</w:t>
      </w:r>
      <w:r>
        <w:t xml:space="preserve"> but not limited</w:t>
      </w:r>
      <w:r w:rsidR="00892646">
        <w:t>,</w:t>
      </w:r>
      <w:r>
        <w:t xml:space="preserve"> to any documents involving guaranties, trusts, financing agreements, convertible debt arrangements, employment agreements, </w:t>
      </w:r>
      <w:r>
        <w:lastRenderedPageBreak/>
        <w:t>stock options, warrants, grants, buy-sell agreements, inheritance, and/or gifting;</w:t>
      </w:r>
    </w:p>
    <w:p w14:paraId="028E11B4" w14:textId="77777777" w:rsidR="00006A41" w:rsidRDefault="00006A41" w:rsidP="00006A41"/>
    <w:p w14:paraId="1F49DE4A" w14:textId="5155F809" w:rsidR="00006A41" w:rsidRDefault="00006A41" w:rsidP="00006A41">
      <w:pPr>
        <w:ind w:left="2160" w:hanging="720"/>
      </w:pPr>
      <w:r>
        <w:t>12)</w:t>
      </w:r>
      <w:r>
        <w:tab/>
        <w:t xml:space="preserve">Updated </w:t>
      </w:r>
      <w:r w:rsidR="003D5195">
        <w:t xml:space="preserve">license </w:t>
      </w:r>
      <w:r>
        <w:t>materials, such as any amended policies and procedures, and any other changes that may be made in accordance with Subpart D;</w:t>
      </w:r>
    </w:p>
    <w:p w14:paraId="6FE183B1" w14:textId="77777777" w:rsidR="00006A41" w:rsidRDefault="00006A41" w:rsidP="00006A41"/>
    <w:p w14:paraId="398600BB" w14:textId="4971A2B1" w:rsidR="00006A41" w:rsidRDefault="00006A41" w:rsidP="00006A41">
      <w:pPr>
        <w:ind w:left="720" w:firstLine="720"/>
      </w:pPr>
      <w:r>
        <w:t>13)</w:t>
      </w:r>
      <w:r>
        <w:tab/>
        <w:t>Any dispensary name registrations, such as a DBA (doing-business-as</w:t>
      </w:r>
      <w:r w:rsidR="00BF1235">
        <w:t>)</w:t>
      </w:r>
      <w:r>
        <w:t>;</w:t>
      </w:r>
    </w:p>
    <w:p w14:paraId="64D6E145" w14:textId="77777777" w:rsidR="00006A41" w:rsidRDefault="00006A41" w:rsidP="00006A41"/>
    <w:p w14:paraId="228CFE04" w14:textId="77777777" w:rsidR="00006A41" w:rsidRDefault="00006A41" w:rsidP="00006A41">
      <w:pPr>
        <w:ind w:left="2160" w:hanging="720"/>
      </w:pPr>
      <w:r>
        <w:t>14)</w:t>
      </w:r>
      <w:r>
        <w:tab/>
        <w:t>Federal tax identification issuance letter from the IRS for any entities holding ownership of the licenses post-transfer;</w:t>
      </w:r>
    </w:p>
    <w:p w14:paraId="15F9B327" w14:textId="77777777" w:rsidR="00006A41" w:rsidRDefault="00006A41" w:rsidP="00006A41"/>
    <w:p w14:paraId="275A8E86" w14:textId="31C9A772" w:rsidR="00006A41" w:rsidRDefault="00006A41" w:rsidP="00006A41">
      <w:pPr>
        <w:ind w:left="2160" w:hanging="720"/>
      </w:pPr>
      <w:r>
        <w:t>15)</w:t>
      </w:r>
      <w:r>
        <w:tab/>
        <w:t xml:space="preserve">If change of ownership or sale or transfer involves a license that was required to submit a community engagement plan as part of licensure, the </w:t>
      </w:r>
      <w:r w:rsidR="00301E29">
        <w:t>b</w:t>
      </w:r>
      <w:r>
        <w:t>uyer must provide a community engagement plan that is the same or similar to the one provided as part of the licensee's application</w:t>
      </w:r>
      <w:r w:rsidR="003D5195">
        <w:t xml:space="preserve"> </w:t>
      </w:r>
      <w:r w:rsidR="003D5195" w:rsidRPr="003D5195">
        <w:t>(see Section 15-60(h) of the Act)</w:t>
      </w:r>
      <w:r>
        <w:t>; and</w:t>
      </w:r>
    </w:p>
    <w:p w14:paraId="581A7CBA" w14:textId="77777777" w:rsidR="00006A41" w:rsidRDefault="00006A41" w:rsidP="00006A41"/>
    <w:p w14:paraId="0B2FC171" w14:textId="32C9516C" w:rsidR="00006A41" w:rsidRDefault="003D5195" w:rsidP="00006A41">
      <w:pPr>
        <w:ind w:left="2160" w:hanging="720"/>
      </w:pPr>
      <w:r>
        <w:t>16)</w:t>
      </w:r>
      <w:r w:rsidR="00006A41">
        <w:tab/>
      </w:r>
      <w:r w:rsidR="0095686C">
        <w:t>T</w:t>
      </w:r>
      <w:r w:rsidR="00006A41">
        <w:t>he Department may waive the submission of certain documents</w:t>
      </w:r>
      <w:r w:rsidR="00006A41" w:rsidRPr="0095686C">
        <w:t xml:space="preserve"> </w:t>
      </w:r>
      <w:r w:rsidR="0095686C" w:rsidRPr="0095686C">
        <w:t xml:space="preserve">upon a showing of a good faith attempt to comply, which may include a written explanation of the steps taken to acquire </w:t>
      </w:r>
      <w:r>
        <w:t xml:space="preserve">those </w:t>
      </w:r>
      <w:r w:rsidR="0095686C" w:rsidRPr="0095686C">
        <w:t>documents or why the submission of documents would be not applicable</w:t>
      </w:r>
      <w:r>
        <w:t>.</w:t>
      </w:r>
    </w:p>
    <w:p w14:paraId="421CC5AC" w14:textId="77777777" w:rsidR="00006A41" w:rsidRDefault="00006A41" w:rsidP="00006A41"/>
    <w:p w14:paraId="64D8251C" w14:textId="26791DCE" w:rsidR="00006A41" w:rsidRDefault="00006A41" w:rsidP="00006A41">
      <w:pPr>
        <w:ind w:left="1440" w:hanging="720"/>
      </w:pPr>
      <w:r>
        <w:t>b)</w:t>
      </w:r>
      <w:r>
        <w:tab/>
        <w:t xml:space="preserve">If the Department determines the application materials and proposed new </w:t>
      </w:r>
      <w:r w:rsidR="003D5195">
        <w:t>p</w:t>
      </w:r>
      <w:r>
        <w:t xml:space="preserve">rincipal </w:t>
      </w:r>
      <w:r w:rsidR="003D5195">
        <w:t>o</w:t>
      </w:r>
      <w:r>
        <w:t xml:space="preserve">fficer applications are complete, it will perform a site inspection of the dispensaries before approving the sale and issuing the new </w:t>
      </w:r>
      <w:r w:rsidR="003D5195">
        <w:t>d</w:t>
      </w:r>
      <w:r>
        <w:t xml:space="preserve">ispensing </w:t>
      </w:r>
      <w:r w:rsidR="003D5195">
        <w:t>o</w:t>
      </w:r>
      <w:r>
        <w:t xml:space="preserve">rganization licenses.  In determining the scope of this inspection, the Department may consider the history for compliance of the </w:t>
      </w:r>
      <w:r w:rsidR="00301E29">
        <w:t>d</w:t>
      </w:r>
      <w:r>
        <w:t xml:space="preserve">ispensing </w:t>
      </w:r>
      <w:r w:rsidR="00301E29">
        <w:t>o</w:t>
      </w:r>
      <w:r>
        <w:t xml:space="preserve">rganization and whether the </w:t>
      </w:r>
      <w:r w:rsidR="00534B5D">
        <w:t>d</w:t>
      </w:r>
      <w:r>
        <w:t xml:space="preserve">ispensing </w:t>
      </w:r>
      <w:r w:rsidR="00534B5D">
        <w:t>o</w:t>
      </w:r>
      <w:r>
        <w:t>rganization is subject to any ongoing monitoring.</w:t>
      </w:r>
    </w:p>
    <w:p w14:paraId="531483E7" w14:textId="77777777" w:rsidR="00006A41" w:rsidRDefault="00006A41" w:rsidP="00006A41"/>
    <w:p w14:paraId="551521DD" w14:textId="163C081D" w:rsidR="00006A41" w:rsidRDefault="00006A41" w:rsidP="00006A41">
      <w:pPr>
        <w:ind w:left="1440" w:hanging="720"/>
      </w:pPr>
      <w:r>
        <w:t>c)</w:t>
      </w:r>
      <w:r>
        <w:tab/>
        <w:t>All outstanding Department-imposed fees and fines on the current license numbers must be paid to the Department before the change of ownership or sale or transfer of a license is approved.</w:t>
      </w:r>
    </w:p>
    <w:p w14:paraId="26C0F92C" w14:textId="77777777" w:rsidR="00006A41" w:rsidRDefault="00006A41" w:rsidP="00006A41"/>
    <w:p w14:paraId="5423D750" w14:textId="40221780" w:rsidR="00006A41" w:rsidRDefault="00006A41" w:rsidP="00006A41">
      <w:pPr>
        <w:ind w:left="1440" w:hanging="720"/>
      </w:pPr>
      <w:r>
        <w:t>d)</w:t>
      </w:r>
      <w:r>
        <w:tab/>
        <w:t xml:space="preserve">The </w:t>
      </w:r>
      <w:r w:rsidR="00534B5D">
        <w:t>s</w:t>
      </w:r>
      <w:r>
        <w:t xml:space="preserve">eller shall deliver all business, training, and operational records to the </w:t>
      </w:r>
      <w:r w:rsidR="00534B5D">
        <w:t>b</w:t>
      </w:r>
      <w:r>
        <w:t xml:space="preserve">uyer.  The </w:t>
      </w:r>
      <w:r w:rsidR="00534B5D">
        <w:t>b</w:t>
      </w:r>
      <w:r>
        <w:t xml:space="preserve">uyer shall retain those records for </w:t>
      </w:r>
      <w:r w:rsidR="00A22480">
        <w:t>five</w:t>
      </w:r>
      <w:r>
        <w:t xml:space="preserve"> years from the transfer date.</w:t>
      </w:r>
    </w:p>
    <w:p w14:paraId="7E07F917" w14:textId="77777777" w:rsidR="00006A41" w:rsidRDefault="00006A41" w:rsidP="00C63F83"/>
    <w:p w14:paraId="0C78527B" w14:textId="21E5E974" w:rsidR="000174EB" w:rsidRPr="00093935" w:rsidRDefault="00006A41" w:rsidP="00006A41">
      <w:pPr>
        <w:ind w:firstLine="720"/>
      </w:pPr>
      <w:r w:rsidRPr="00524821">
        <w:t>(Source:  Added at 4</w:t>
      </w:r>
      <w:r w:rsidR="006F6224">
        <w:t>8</w:t>
      </w:r>
      <w:r w:rsidRPr="00524821">
        <w:t xml:space="preserve"> Ill. Reg. </w:t>
      </w:r>
      <w:r w:rsidR="00B97EC1">
        <w:t>13377</w:t>
      </w:r>
      <w:r w:rsidRPr="00524821">
        <w:t xml:space="preserve">, effective </w:t>
      </w:r>
      <w:r w:rsidR="00B97EC1">
        <w:t>August 20,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CFC5" w14:textId="77777777" w:rsidR="00D04EA0" w:rsidRDefault="00D04EA0">
      <w:r>
        <w:separator/>
      </w:r>
    </w:p>
  </w:endnote>
  <w:endnote w:type="continuationSeparator" w:id="0">
    <w:p w14:paraId="4D64DF4A" w14:textId="77777777" w:rsidR="00D04EA0" w:rsidRDefault="00D0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E7CF" w14:textId="77777777" w:rsidR="00D04EA0" w:rsidRDefault="00D04EA0">
      <w:r>
        <w:separator/>
      </w:r>
    </w:p>
  </w:footnote>
  <w:footnote w:type="continuationSeparator" w:id="0">
    <w:p w14:paraId="3F8B4068" w14:textId="77777777" w:rsidR="00D04EA0" w:rsidRDefault="00D04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A0"/>
    <w:rsid w:val="00000AED"/>
    <w:rsid w:val="00001F1D"/>
    <w:rsid w:val="00003CEF"/>
    <w:rsid w:val="00005CAE"/>
    <w:rsid w:val="00006A41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D5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E29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19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4DB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B5D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224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9C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646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0EB"/>
    <w:rsid w:val="0093513C"/>
    <w:rsid w:val="00935A8C"/>
    <w:rsid w:val="00944E3D"/>
    <w:rsid w:val="00947AC3"/>
    <w:rsid w:val="00950386"/>
    <w:rsid w:val="0095686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480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EC1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235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F8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EA0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07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4E84B"/>
  <w15:chartTrackingRefBased/>
  <w15:docId w15:val="{D63560EB-5617-4C20-871A-071B36D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A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2024-09-05T18:02:00Z</dcterms:modified>
</cp:coreProperties>
</file>