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75" w:rsidRDefault="007C2175" w:rsidP="007C21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2175" w:rsidRDefault="007C2175" w:rsidP="007C21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240.300  Applicability</w:t>
      </w:r>
      <w:r>
        <w:t xml:space="preserve"> </w:t>
      </w:r>
    </w:p>
    <w:p w:rsidR="007C2175" w:rsidRDefault="007C2175" w:rsidP="007C2175">
      <w:pPr>
        <w:widowControl w:val="0"/>
        <w:autoSpaceDE w:val="0"/>
        <w:autoSpaceDN w:val="0"/>
        <w:adjustRightInd w:val="0"/>
      </w:pPr>
    </w:p>
    <w:p w:rsidR="007C2175" w:rsidRDefault="007C2175" w:rsidP="007C2175">
      <w:pPr>
        <w:widowControl w:val="0"/>
        <w:autoSpaceDE w:val="0"/>
        <w:autoSpaceDN w:val="0"/>
        <w:adjustRightInd w:val="0"/>
      </w:pPr>
      <w:r>
        <w:t xml:space="preserve">The provisions of this Subpart apply to Injection, Disposal and Commercial Disposal Class II UIC wells. </w:t>
      </w:r>
    </w:p>
    <w:p w:rsidR="007C2175" w:rsidRDefault="007C2175" w:rsidP="007C2175">
      <w:pPr>
        <w:widowControl w:val="0"/>
        <w:autoSpaceDE w:val="0"/>
        <w:autoSpaceDN w:val="0"/>
        <w:adjustRightInd w:val="0"/>
      </w:pPr>
    </w:p>
    <w:p w:rsidR="007C2175" w:rsidRDefault="007C2175" w:rsidP="007C217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19 Ill. Reg. 10981, effective July 14, 1995) </w:t>
      </w:r>
    </w:p>
    <w:sectPr w:rsidR="007C2175" w:rsidSect="007C21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2175"/>
    <w:rsid w:val="00071099"/>
    <w:rsid w:val="0059193B"/>
    <w:rsid w:val="005C3366"/>
    <w:rsid w:val="00775F34"/>
    <w:rsid w:val="007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