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F5" w:rsidRDefault="004809F5" w:rsidP="004809F5">
      <w:pPr>
        <w:widowControl w:val="0"/>
        <w:autoSpaceDE w:val="0"/>
        <w:autoSpaceDN w:val="0"/>
        <w:adjustRightInd w:val="0"/>
      </w:pPr>
      <w:bookmarkStart w:id="0" w:name="_GoBack"/>
      <w:bookmarkEnd w:id="0"/>
    </w:p>
    <w:p w:rsidR="004809F5" w:rsidRDefault="004809F5" w:rsidP="004809F5">
      <w:pPr>
        <w:widowControl w:val="0"/>
        <w:autoSpaceDE w:val="0"/>
        <w:autoSpaceDN w:val="0"/>
        <w:adjustRightInd w:val="0"/>
      </w:pPr>
      <w:r>
        <w:rPr>
          <w:b/>
          <w:bCs/>
        </w:rPr>
        <w:t>Section 220.130  Explosives and Blasting</w:t>
      </w:r>
      <w:r>
        <w:t xml:space="preserve"> </w:t>
      </w:r>
    </w:p>
    <w:p w:rsidR="004809F5" w:rsidRDefault="004809F5" w:rsidP="004809F5">
      <w:pPr>
        <w:widowControl w:val="0"/>
        <w:autoSpaceDE w:val="0"/>
        <w:autoSpaceDN w:val="0"/>
        <w:adjustRightInd w:val="0"/>
      </w:pPr>
    </w:p>
    <w:p w:rsidR="004809F5" w:rsidRDefault="004809F5" w:rsidP="004809F5">
      <w:pPr>
        <w:widowControl w:val="0"/>
        <w:autoSpaceDE w:val="0"/>
        <w:autoSpaceDN w:val="0"/>
        <w:adjustRightInd w:val="0"/>
        <w:ind w:left="1440" w:hanging="720"/>
      </w:pPr>
      <w:r>
        <w:t>a)</w:t>
      </w:r>
      <w:r>
        <w:tab/>
        <w:t xml:space="preserve">Explosives and blasting.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Explosives, blasting agents, detonators, or any other related blasting device or material shall be stored, transported, carried, handled, charged, fired, destroyed, or otherwise used, employed or disposed of by any person at a coal mine in accordance with all applicable provisions of existing federal and state statutes and rules, and as prescribed in the following Sections: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The term "explosives" as used in this Part includes blasting agents. The standard in this Part in which the term "explosives" appears are applicable to blasting agents unless blasting agents are expressly excluded.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b)</w:t>
      </w:r>
      <w:r>
        <w:tab/>
        <w:t xml:space="preserve">Magazines; location. </w:t>
      </w:r>
    </w:p>
    <w:p w:rsidR="004809F5" w:rsidRDefault="004809F5" w:rsidP="007906D9">
      <w:pPr>
        <w:widowControl w:val="0"/>
        <w:autoSpaceDE w:val="0"/>
        <w:autoSpaceDN w:val="0"/>
        <w:adjustRightInd w:val="0"/>
        <w:ind w:left="1440"/>
      </w:pPr>
      <w:r>
        <w:t xml:space="preserve">In addition to the magazine location provisions contained in existing federal and state statutes and rules, the magazine shall be located outside the blasting area. </w:t>
      </w:r>
    </w:p>
    <w:p w:rsidR="00797297" w:rsidRDefault="00797297" w:rsidP="007906D9">
      <w:pPr>
        <w:widowControl w:val="0"/>
        <w:autoSpaceDE w:val="0"/>
        <w:autoSpaceDN w:val="0"/>
        <w:adjustRightInd w:val="0"/>
        <w:ind w:left="1440"/>
      </w:pPr>
    </w:p>
    <w:p w:rsidR="004809F5" w:rsidRDefault="004809F5" w:rsidP="004809F5">
      <w:pPr>
        <w:widowControl w:val="0"/>
        <w:autoSpaceDE w:val="0"/>
        <w:autoSpaceDN w:val="0"/>
        <w:adjustRightInd w:val="0"/>
        <w:ind w:left="1440" w:hanging="720"/>
      </w:pPr>
      <w:r>
        <w:t>c)</w:t>
      </w:r>
      <w:r>
        <w:tab/>
        <w:t xml:space="preserve">Magazine; storage. </w:t>
      </w:r>
    </w:p>
    <w:p w:rsidR="004809F5" w:rsidRDefault="004809F5" w:rsidP="007906D9">
      <w:pPr>
        <w:widowControl w:val="0"/>
        <w:autoSpaceDE w:val="0"/>
        <w:autoSpaceDN w:val="0"/>
        <w:adjustRightInd w:val="0"/>
        <w:ind w:left="1440"/>
      </w:pPr>
      <w:r>
        <w:t xml:space="preserve">In addition to storage requirements contained in existing federal and state statutes and rules, the following shall apply: </w:t>
      </w:r>
    </w:p>
    <w:p w:rsidR="00797297" w:rsidRDefault="00797297" w:rsidP="007906D9">
      <w:pPr>
        <w:widowControl w:val="0"/>
        <w:autoSpaceDE w:val="0"/>
        <w:autoSpaceDN w:val="0"/>
        <w:adjustRightInd w:val="0"/>
        <w:ind w:left="1440"/>
      </w:pPr>
    </w:p>
    <w:p w:rsidR="004809F5" w:rsidRDefault="004809F5" w:rsidP="004809F5">
      <w:pPr>
        <w:widowControl w:val="0"/>
        <w:autoSpaceDE w:val="0"/>
        <w:autoSpaceDN w:val="0"/>
        <w:adjustRightInd w:val="0"/>
        <w:ind w:left="2160" w:hanging="720"/>
      </w:pPr>
      <w:r>
        <w:t>1)</w:t>
      </w:r>
      <w:r>
        <w:tab/>
        <w:t xml:space="preserve">Ammonium nitrate-fuel oil blasting agents shall be separated from explosives, safety fuse, or detonating cord stored in the same magazine and in such a manner that oil does not contaminate the explosives, safety fuse, or detonating cord;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Blasting agents may be stored in van-type trailers, provided that they are kept clean, and free of extraneous material that could create a fire hazard;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The magazines shall be detached structures located at least fifty (50) feet away from that point or area directly beneath the </w:t>
      </w:r>
      <w:proofErr w:type="spellStart"/>
      <w:r>
        <w:t>powerlines</w:t>
      </w:r>
      <w:proofErr w:type="spellEnd"/>
      <w:r>
        <w:t xml:space="preserv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Areas surrounding magazines shall be kept free of rubbish and other combustibles for a distance of not less than twenty-five (25) feet in all directions;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The magazine area shall be posted with suitable danger signs which are so located that a bullet passing in the direction of the sign will not strike the magazine;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The magazines shall be unheated unless heating can be provided in a manner that does not create a fire or explosion hazard;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lastRenderedPageBreak/>
        <w:t>7)</w:t>
      </w:r>
      <w:r>
        <w:tab/>
        <w:t xml:space="preserve">Cases or boxes containing explosives shall not be stacked more than six (6) feet high; and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8)</w:t>
      </w:r>
      <w:r>
        <w:tab/>
        <w:t xml:space="preserve">Cases of explosives shall be stored in such a manner to assure the use of the oldest stock first.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d)</w:t>
      </w:r>
      <w:r>
        <w:tab/>
        <w:t xml:space="preserve">Persons authorized to use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Each blasting operation shall be under the direct control person trained and experienced in the handling of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Any person who uses or handles explosives shall be experienced in the handling of explosives; inexperienced persons shall work under the direction of and in the immediate presence of an experienced person.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e)</w:t>
      </w:r>
      <w:r>
        <w:tab/>
        <w:t xml:space="preserve">Transport of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Vehicles used to transport explosives, other than blasting agents, shall have substantially constructed bodies, no sparking metal exposed in the cargo space, and shall be equipped with suitable sides and tail gates; explosives shall not be piled higher than the side or end.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Vehicles containing explosives shall be maintained in good condition and shall be operated at a safe speed and in accordance with safe operating practices.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Vehicles containing explosives shall be posted with appropriate warning signs.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Other materials or supplies shall not be placed on or in the cargo space of a conveyance containing explosives, except for properly secured </w:t>
      </w:r>
      <w:proofErr w:type="spellStart"/>
      <w:r>
        <w:t>nonsparking</w:t>
      </w:r>
      <w:proofErr w:type="spellEnd"/>
      <w:r>
        <w:t xml:space="preserve"> equipment used expressly in the handling of such explosives, detonating cord, or detonators.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Explosives and detonators shall be transported in separate vehicles unless separated by four (4) inches of substantially fastened hardwood or an equivalent partition.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Explosives shall be transported promptly without undue delays in transit.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7)</w:t>
      </w:r>
      <w:r>
        <w:tab/>
        <w:t xml:space="preserve">Explosives shall be transported at times and over routes that expose a minimum number of persons.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8)</w:t>
      </w:r>
      <w:r>
        <w:tab/>
        <w:t xml:space="preserve">Only the attendants necessary for safe transport shall ride in vehicles containing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lastRenderedPageBreak/>
        <w:t>9)</w:t>
      </w:r>
      <w:r>
        <w:tab/>
        <w:t xml:space="preserve">Vehicles containing detonators or explosives, other than blasting agents, shall not be left unattended except in the immediate area where loading or charging is in progress.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10)</w:t>
      </w:r>
      <w:r>
        <w:tab/>
        <w:t xml:space="preserve">When vehicles containing explosives are parked, the brakes shall be set, the motive power shut off except when in use to discharge the contents of the vehicle, and if parked on a grade the vehicle shall be chocked securely against rolling.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11)</w:t>
      </w:r>
      <w:r>
        <w:tab/>
        <w:t xml:space="preserve">Vehicles containing explosives shall not be taken to a repair garage or shop for any purpose.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12)</w:t>
      </w:r>
      <w:r>
        <w:tab/>
        <w:t xml:space="preserve">Vehicles used to transport blasting agents to the blasting site shall have substantially constructed bodies with no zinc or copper exposed in the cargo space; where applicable, the vehicle shall be equipped with suitable sides and tailgates and the blasting agent shall not be piled higher than the sides or end enclosures.  If an end screw is used to discharge the blasting agents from the vehicle, the conveyor shall be constructed to prevent development of excessive internal pressure and frictional heat in the blasting agent.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13)</w:t>
      </w:r>
      <w:r>
        <w:tab/>
        <w:t xml:space="preserve">Caution shall be exercised in the movement of vehicles in the blasting area to avoid driving the vehicle over or dragging hoses over firing lines, detonator wires, explosive materials, or loaded holes.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f)</w:t>
      </w:r>
      <w:r>
        <w:tab/>
        <w:t xml:space="preserve">Priming and stemming of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A primer containing an electric detonator or fused cap shall only be made up at the time of charging and as close to the blasting area as conditions allow.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A primer containing a detonator shall be prepared to insure the detonator is securely and completely within the explosive column.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Detonating cord shall be securely attached to the explosive forming the primer.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Adequate priming shall be employed to minimize misfires, toxic fumes, and poor performance.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Only </w:t>
      </w:r>
      <w:proofErr w:type="spellStart"/>
      <w:r>
        <w:t>nonsparking</w:t>
      </w:r>
      <w:proofErr w:type="spellEnd"/>
      <w:r>
        <w:t xml:space="preserve"> implements shall be used to punch holes in an explosive cartridge.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Tamping poles shall be blunt and squared at one end, and made of wood, </w:t>
      </w:r>
      <w:proofErr w:type="spellStart"/>
      <w:r>
        <w:t>nonsparking</w:t>
      </w:r>
      <w:proofErr w:type="spellEnd"/>
      <w:r>
        <w:t xml:space="preserve"> material, or of acceptable plastic.  However, where electric detonators are in use, the tamping pole shall be made of wood.  All couplers shall be made on </w:t>
      </w:r>
      <w:proofErr w:type="spellStart"/>
      <w:r>
        <w:t>nonsparking</w:t>
      </w:r>
      <w:proofErr w:type="spellEnd"/>
      <w:r>
        <w:t xml:space="preserve"> material on both tamping machines and poles.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7)</w:t>
      </w:r>
      <w:r>
        <w:tab/>
        <w:t xml:space="preserve">No tamping shall be done directly on a primer.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g)</w:t>
      </w:r>
      <w:r>
        <w:tab/>
        <w:t xml:space="preserve">Firing of explosive charges.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Multiple blasts shall be fired only with instruments designed specifically for initiating electrical detonators, and having adequate capacity for the number of electrical detonators, the resistance of the blasting circuit and the type of blasting circuit used.  Dry cell batteries of adequate capacity may be used for the firing of single electrical detonators, if such use has been previously approved by an authorized representative of the Department.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The control of the electrical firing device shall be entrusted only to the person authorized to fire the shots or his immediate supervisor.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Electric detonators of different manufacturers shall not be used in the same circuit.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Lead wires and blasting lines shall not be strung across power conductors, pipelines, railroad tracks or within fifty (50) feet of energized trailing cables or other sources of electrical contact. Twenty-five (25) feet shall be applied as a minimum distance for coal shooting.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Electrically powered equipment and trailing cables shall be </w:t>
      </w:r>
      <w:proofErr w:type="spellStart"/>
      <w:r>
        <w:t>deenergized</w:t>
      </w:r>
      <w:proofErr w:type="spellEnd"/>
      <w:r>
        <w:t xml:space="preserve"> if within fifty (50) feet of boreholes containing electrical detonators or blasting circuits, and the power circuits shall not be reenergized until the shots are fired.  Twenty-five (25) feet shall be applied as a minimum distance for coal shooting.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When instantaneous blasting is performed, </w:t>
      </w:r>
      <w:proofErr w:type="spellStart"/>
      <w:r>
        <w:t>trunklines</w:t>
      </w:r>
      <w:proofErr w:type="spellEnd"/>
      <w:r>
        <w:t xml:space="preserve">, in multiple-row blasts, shall make one (1) or more complete loops, with crossties between loops at intervals of not over two hundred (200) feet.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7)</w:t>
      </w:r>
      <w:r>
        <w:tab/>
        <w:t xml:space="preserve">Except when being tested with a blasting galvanometer: </w:t>
      </w:r>
    </w:p>
    <w:p w:rsidR="00797297" w:rsidRDefault="00797297" w:rsidP="004809F5">
      <w:pPr>
        <w:widowControl w:val="0"/>
        <w:autoSpaceDE w:val="0"/>
        <w:autoSpaceDN w:val="0"/>
        <w:adjustRightInd w:val="0"/>
        <w:ind w:left="2880" w:hanging="720"/>
      </w:pPr>
    </w:p>
    <w:p w:rsidR="004809F5" w:rsidRDefault="004809F5" w:rsidP="004809F5">
      <w:pPr>
        <w:widowControl w:val="0"/>
        <w:autoSpaceDE w:val="0"/>
        <w:autoSpaceDN w:val="0"/>
        <w:adjustRightInd w:val="0"/>
        <w:ind w:left="2880" w:hanging="720"/>
      </w:pPr>
      <w:r>
        <w:t>A)</w:t>
      </w:r>
      <w:r>
        <w:tab/>
        <w:t xml:space="preserve">Electric detonators shall be kept shunted until they are being connected to the blasting line or wired into a blasting circuit; </w:t>
      </w:r>
    </w:p>
    <w:p w:rsidR="00797297" w:rsidRDefault="00797297" w:rsidP="004809F5">
      <w:pPr>
        <w:widowControl w:val="0"/>
        <w:autoSpaceDE w:val="0"/>
        <w:autoSpaceDN w:val="0"/>
        <w:adjustRightInd w:val="0"/>
        <w:ind w:left="2880" w:hanging="720"/>
      </w:pPr>
    </w:p>
    <w:p w:rsidR="004809F5" w:rsidRDefault="004809F5" w:rsidP="004809F5">
      <w:pPr>
        <w:widowControl w:val="0"/>
        <w:autoSpaceDE w:val="0"/>
        <w:autoSpaceDN w:val="0"/>
        <w:adjustRightInd w:val="0"/>
        <w:ind w:left="2880" w:hanging="720"/>
      </w:pPr>
      <w:r>
        <w:t>B)</w:t>
      </w:r>
      <w:r>
        <w:tab/>
        <w:t xml:space="preserve">Wired rounds shall be kept shunted until they are being connected to the blasting line; and </w:t>
      </w:r>
    </w:p>
    <w:p w:rsidR="00797297" w:rsidRDefault="00797297" w:rsidP="004809F5">
      <w:pPr>
        <w:widowControl w:val="0"/>
        <w:autoSpaceDE w:val="0"/>
        <w:autoSpaceDN w:val="0"/>
        <w:adjustRightInd w:val="0"/>
        <w:ind w:left="2880" w:hanging="720"/>
      </w:pPr>
    </w:p>
    <w:p w:rsidR="004809F5" w:rsidRDefault="004809F5" w:rsidP="004809F5">
      <w:pPr>
        <w:widowControl w:val="0"/>
        <w:autoSpaceDE w:val="0"/>
        <w:autoSpaceDN w:val="0"/>
        <w:adjustRightInd w:val="0"/>
        <w:ind w:left="2880" w:hanging="720"/>
      </w:pPr>
      <w:r>
        <w:t>C)</w:t>
      </w:r>
      <w:r>
        <w:tab/>
        <w:t xml:space="preserve">Blasting lines shall be kept shunted until immediately before blasting.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8)</w:t>
      </w:r>
      <w:r>
        <w:tab/>
        <w:t xml:space="preserve">Completely wired rounds shall be tested with a blasting galvanometer before connections are made to the blasting line, and prior connection to power source.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9)</w:t>
      </w:r>
      <w:r>
        <w:tab/>
        <w:t xml:space="preserve">Blasting lines shall be properly insulated and kept in good repair.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10)</w:t>
      </w:r>
      <w:r>
        <w:tab/>
        <w:t xml:space="preserve">Charging of boreholes shall be suspended and men withdrawn from the blasting area to a safe location upon the approach and progress of an electrical storm.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h)</w:t>
      </w:r>
      <w:r>
        <w:tab/>
        <w:t xml:space="preserve">Detonating cord.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Delay connectors shall be treated and handled with the same safety precautions as detonators.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Detonating cord shall not be used if it has been kinked, bent or otherwise handled in such a manner that the train of detonation may be interrupted.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The line of detonating cord extending out of a borehole shall be cut from the supply spool after the primer is correctly positioned and the line secured.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All detonating cord knots shall be tight and all connections shall be kept at right angles to the trunk lines.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Blasting caps shall be crimped to fuses only with implements designed to that specific purpose.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When firing from one (1) to fifteen (15) </w:t>
      </w:r>
      <w:proofErr w:type="spellStart"/>
      <w:r>
        <w:t>blastholes</w:t>
      </w:r>
      <w:proofErr w:type="spellEnd"/>
      <w:r>
        <w:t xml:space="preserve"> with safety fuse ignited individually using hand-held lighters, the fuses shall be of such lengths to provide the minimum burning time specified in the following table for a particular size round: </w:t>
      </w:r>
    </w:p>
    <w:p w:rsidR="00797297" w:rsidRDefault="00797297" w:rsidP="007906D9">
      <w:pPr>
        <w:widowControl w:val="0"/>
        <w:autoSpaceDE w:val="0"/>
        <w:autoSpaceDN w:val="0"/>
        <w:adjustRightInd w:val="0"/>
        <w:ind w:left="2880" w:hanging="720"/>
      </w:pPr>
    </w:p>
    <w:p w:rsidR="004809F5" w:rsidRDefault="007906D9" w:rsidP="007906D9">
      <w:pPr>
        <w:widowControl w:val="0"/>
        <w:autoSpaceDE w:val="0"/>
        <w:autoSpaceDN w:val="0"/>
        <w:adjustRightInd w:val="0"/>
        <w:ind w:left="2880" w:hanging="720"/>
      </w:pPr>
      <w:r>
        <w:t>A)</w:t>
      </w:r>
      <w:r>
        <w:tab/>
      </w:r>
    </w:p>
    <w:p w:rsidR="007906D9" w:rsidRDefault="007906D9" w:rsidP="007906D9">
      <w:pPr>
        <w:widowControl w:val="0"/>
        <w:autoSpaceDE w:val="0"/>
        <w:autoSpaceDN w:val="0"/>
        <w:adjustRightInd w:val="0"/>
        <w:ind w:left="2880" w:hanging="720"/>
      </w:pPr>
    </w:p>
    <w:tbl>
      <w:tblPr>
        <w:tblW w:w="0" w:type="auto"/>
        <w:tblInd w:w="2730" w:type="dxa"/>
        <w:tblLook w:val="0000" w:firstRow="0" w:lastRow="0" w:firstColumn="0" w:lastColumn="0" w:noHBand="0" w:noVBand="0"/>
      </w:tblPr>
      <w:tblGrid>
        <w:gridCol w:w="2842"/>
        <w:gridCol w:w="236"/>
        <w:gridCol w:w="3768"/>
      </w:tblGrid>
      <w:tr w:rsidR="007906D9" w:rsidRPr="007906D9">
        <w:tblPrEx>
          <w:tblCellMar>
            <w:top w:w="0" w:type="dxa"/>
            <w:bottom w:w="0" w:type="dxa"/>
          </w:tblCellMar>
        </w:tblPrEx>
        <w:trPr>
          <w:trHeight w:val="378"/>
        </w:trPr>
        <w:tc>
          <w:tcPr>
            <w:tcW w:w="2842" w:type="dxa"/>
            <w:tcBorders>
              <w:bottom w:val="single" w:sz="4" w:space="0" w:color="auto"/>
            </w:tcBorders>
          </w:tcPr>
          <w:p w:rsidR="007906D9" w:rsidRPr="007906D9" w:rsidRDefault="007906D9" w:rsidP="007906D9">
            <w:pPr>
              <w:widowControl w:val="0"/>
              <w:autoSpaceDE w:val="0"/>
              <w:autoSpaceDN w:val="0"/>
              <w:adjustRightInd w:val="0"/>
              <w:ind w:left="-108" w:right="-109"/>
              <w:jc w:val="center"/>
            </w:pPr>
            <w:r w:rsidRPr="007906D9">
              <w:t>Number of holes</w:t>
            </w:r>
            <w:r>
              <w:t xml:space="preserve"> </w:t>
            </w:r>
            <w:r w:rsidRPr="007906D9">
              <w:t>in a round</w:t>
            </w:r>
          </w:p>
        </w:tc>
        <w:tc>
          <w:tcPr>
            <w:tcW w:w="236" w:type="dxa"/>
          </w:tcPr>
          <w:p w:rsidR="007906D9" w:rsidRPr="007906D9" w:rsidRDefault="007906D9" w:rsidP="007906D9">
            <w:pPr>
              <w:widowControl w:val="0"/>
              <w:autoSpaceDE w:val="0"/>
              <w:autoSpaceDN w:val="0"/>
              <w:adjustRightInd w:val="0"/>
              <w:jc w:val="center"/>
            </w:pPr>
          </w:p>
        </w:tc>
        <w:tc>
          <w:tcPr>
            <w:tcW w:w="3768" w:type="dxa"/>
            <w:tcBorders>
              <w:bottom w:val="single" w:sz="4" w:space="0" w:color="auto"/>
            </w:tcBorders>
          </w:tcPr>
          <w:p w:rsidR="007906D9" w:rsidRPr="007906D9" w:rsidRDefault="007906D9" w:rsidP="007906D9">
            <w:pPr>
              <w:widowControl w:val="0"/>
              <w:autoSpaceDE w:val="0"/>
              <w:autoSpaceDN w:val="0"/>
              <w:adjustRightInd w:val="0"/>
              <w:ind w:left="-108" w:right="-102"/>
              <w:jc w:val="center"/>
            </w:pPr>
            <w:r w:rsidRPr="007906D9">
              <w:t>Minimum burning</w:t>
            </w:r>
            <w:r>
              <w:t xml:space="preserve"> </w:t>
            </w:r>
            <w:r w:rsidRPr="007906D9">
              <w:t>time, minutes</w:t>
            </w:r>
          </w:p>
        </w:tc>
      </w:tr>
      <w:tr w:rsidR="007906D9" w:rsidRPr="007906D9">
        <w:tblPrEx>
          <w:tblCellMar>
            <w:top w:w="0" w:type="dxa"/>
            <w:bottom w:w="0" w:type="dxa"/>
          </w:tblCellMar>
        </w:tblPrEx>
        <w:trPr>
          <w:trHeight w:val="359"/>
        </w:trPr>
        <w:tc>
          <w:tcPr>
            <w:tcW w:w="2842" w:type="dxa"/>
            <w:tcBorders>
              <w:top w:val="single" w:sz="4" w:space="0" w:color="auto"/>
            </w:tcBorders>
            <w:vAlign w:val="bottom"/>
          </w:tcPr>
          <w:p w:rsidR="007906D9" w:rsidRPr="007906D9" w:rsidRDefault="007906D9" w:rsidP="007906D9">
            <w:pPr>
              <w:widowControl w:val="0"/>
              <w:autoSpaceDE w:val="0"/>
              <w:autoSpaceDN w:val="0"/>
              <w:adjustRightInd w:val="0"/>
              <w:jc w:val="center"/>
            </w:pPr>
            <w:r w:rsidRPr="007906D9">
              <w:t>1</w:t>
            </w:r>
          </w:p>
        </w:tc>
        <w:tc>
          <w:tcPr>
            <w:tcW w:w="236" w:type="dxa"/>
            <w:vAlign w:val="bottom"/>
          </w:tcPr>
          <w:p w:rsidR="007906D9" w:rsidRPr="007906D9" w:rsidRDefault="007906D9" w:rsidP="007906D9">
            <w:pPr>
              <w:widowControl w:val="0"/>
              <w:autoSpaceDE w:val="0"/>
              <w:autoSpaceDN w:val="0"/>
              <w:adjustRightInd w:val="0"/>
              <w:jc w:val="center"/>
            </w:pPr>
          </w:p>
        </w:tc>
        <w:tc>
          <w:tcPr>
            <w:tcW w:w="3768" w:type="dxa"/>
            <w:tcBorders>
              <w:top w:val="single" w:sz="4" w:space="0" w:color="auto"/>
            </w:tcBorders>
            <w:vAlign w:val="bottom"/>
          </w:tcPr>
          <w:p w:rsidR="007906D9" w:rsidRPr="007906D9" w:rsidRDefault="007906D9" w:rsidP="007906D9">
            <w:pPr>
              <w:widowControl w:val="0"/>
              <w:autoSpaceDE w:val="0"/>
              <w:autoSpaceDN w:val="0"/>
              <w:adjustRightInd w:val="0"/>
              <w:ind w:left="-108" w:right="-102"/>
              <w:jc w:val="center"/>
            </w:pPr>
            <w:r w:rsidRPr="007906D9">
              <w:t>2</w:t>
            </w:r>
          </w:p>
        </w:tc>
      </w:tr>
      <w:tr w:rsidR="007906D9" w:rsidRPr="007906D9">
        <w:tblPrEx>
          <w:tblCellMar>
            <w:top w:w="0" w:type="dxa"/>
            <w:bottom w:w="0" w:type="dxa"/>
          </w:tblCellMar>
        </w:tblPrEx>
        <w:tc>
          <w:tcPr>
            <w:tcW w:w="2842" w:type="dxa"/>
          </w:tcPr>
          <w:p w:rsidR="007906D9" w:rsidRPr="007906D9" w:rsidRDefault="007906D9" w:rsidP="007906D9">
            <w:pPr>
              <w:widowControl w:val="0"/>
              <w:autoSpaceDE w:val="0"/>
              <w:autoSpaceDN w:val="0"/>
              <w:adjustRightInd w:val="0"/>
              <w:jc w:val="center"/>
            </w:pPr>
            <w:r w:rsidRPr="007906D9">
              <w:t>2-5</w:t>
            </w:r>
          </w:p>
        </w:tc>
        <w:tc>
          <w:tcPr>
            <w:tcW w:w="236" w:type="dxa"/>
          </w:tcPr>
          <w:p w:rsidR="007906D9" w:rsidRDefault="007906D9" w:rsidP="007906D9">
            <w:pPr>
              <w:widowControl w:val="0"/>
              <w:autoSpaceDE w:val="0"/>
              <w:autoSpaceDN w:val="0"/>
              <w:adjustRightInd w:val="0"/>
              <w:jc w:val="center"/>
            </w:pPr>
          </w:p>
        </w:tc>
        <w:tc>
          <w:tcPr>
            <w:tcW w:w="3768" w:type="dxa"/>
          </w:tcPr>
          <w:p w:rsidR="007906D9" w:rsidRPr="007906D9" w:rsidRDefault="007906D9" w:rsidP="007906D9">
            <w:pPr>
              <w:widowControl w:val="0"/>
              <w:autoSpaceDE w:val="0"/>
              <w:autoSpaceDN w:val="0"/>
              <w:adjustRightInd w:val="0"/>
              <w:ind w:left="-108" w:right="-102"/>
              <w:jc w:val="center"/>
            </w:pPr>
            <w:r>
              <w:t>2⅔</w:t>
            </w:r>
          </w:p>
        </w:tc>
      </w:tr>
      <w:tr w:rsidR="007906D9" w:rsidRPr="007906D9">
        <w:tblPrEx>
          <w:tblCellMar>
            <w:top w:w="0" w:type="dxa"/>
            <w:bottom w:w="0" w:type="dxa"/>
          </w:tblCellMar>
        </w:tblPrEx>
        <w:tc>
          <w:tcPr>
            <w:tcW w:w="2842" w:type="dxa"/>
          </w:tcPr>
          <w:p w:rsidR="007906D9" w:rsidRPr="007906D9" w:rsidRDefault="007906D9" w:rsidP="007906D9">
            <w:pPr>
              <w:widowControl w:val="0"/>
              <w:autoSpaceDE w:val="0"/>
              <w:autoSpaceDN w:val="0"/>
              <w:adjustRightInd w:val="0"/>
              <w:jc w:val="center"/>
            </w:pPr>
            <w:r w:rsidRPr="007906D9">
              <w:t>6-10</w:t>
            </w:r>
          </w:p>
        </w:tc>
        <w:tc>
          <w:tcPr>
            <w:tcW w:w="236" w:type="dxa"/>
          </w:tcPr>
          <w:p w:rsidR="007906D9" w:rsidRDefault="007906D9" w:rsidP="007906D9">
            <w:pPr>
              <w:widowControl w:val="0"/>
              <w:autoSpaceDE w:val="0"/>
              <w:autoSpaceDN w:val="0"/>
              <w:adjustRightInd w:val="0"/>
              <w:jc w:val="center"/>
            </w:pPr>
          </w:p>
        </w:tc>
        <w:tc>
          <w:tcPr>
            <w:tcW w:w="3768" w:type="dxa"/>
          </w:tcPr>
          <w:p w:rsidR="007906D9" w:rsidRPr="007906D9" w:rsidRDefault="007906D9" w:rsidP="007906D9">
            <w:pPr>
              <w:widowControl w:val="0"/>
              <w:autoSpaceDE w:val="0"/>
              <w:autoSpaceDN w:val="0"/>
              <w:adjustRightInd w:val="0"/>
              <w:ind w:left="-108" w:right="-102"/>
              <w:jc w:val="center"/>
            </w:pPr>
            <w:r>
              <w:t>3⅓</w:t>
            </w:r>
          </w:p>
        </w:tc>
      </w:tr>
      <w:tr w:rsidR="007906D9" w:rsidRPr="007906D9">
        <w:tblPrEx>
          <w:tblCellMar>
            <w:top w:w="0" w:type="dxa"/>
            <w:bottom w:w="0" w:type="dxa"/>
          </w:tblCellMar>
        </w:tblPrEx>
        <w:tc>
          <w:tcPr>
            <w:tcW w:w="2842" w:type="dxa"/>
          </w:tcPr>
          <w:p w:rsidR="007906D9" w:rsidRPr="007906D9" w:rsidRDefault="007906D9" w:rsidP="007906D9">
            <w:pPr>
              <w:widowControl w:val="0"/>
              <w:autoSpaceDE w:val="0"/>
              <w:autoSpaceDN w:val="0"/>
              <w:adjustRightInd w:val="0"/>
              <w:jc w:val="center"/>
            </w:pPr>
            <w:r w:rsidRPr="007906D9">
              <w:t>11-15</w:t>
            </w:r>
          </w:p>
        </w:tc>
        <w:tc>
          <w:tcPr>
            <w:tcW w:w="236" w:type="dxa"/>
          </w:tcPr>
          <w:p w:rsidR="007906D9" w:rsidRPr="007906D9" w:rsidRDefault="007906D9" w:rsidP="007906D9">
            <w:pPr>
              <w:widowControl w:val="0"/>
              <w:autoSpaceDE w:val="0"/>
              <w:autoSpaceDN w:val="0"/>
              <w:adjustRightInd w:val="0"/>
              <w:jc w:val="center"/>
            </w:pPr>
          </w:p>
        </w:tc>
        <w:tc>
          <w:tcPr>
            <w:tcW w:w="3768" w:type="dxa"/>
          </w:tcPr>
          <w:p w:rsidR="007906D9" w:rsidRPr="007906D9" w:rsidRDefault="007906D9" w:rsidP="007906D9">
            <w:pPr>
              <w:widowControl w:val="0"/>
              <w:autoSpaceDE w:val="0"/>
              <w:autoSpaceDN w:val="0"/>
              <w:adjustRightInd w:val="0"/>
              <w:ind w:left="-108" w:right="-102"/>
              <w:jc w:val="center"/>
            </w:pPr>
            <w:r w:rsidRPr="007906D9">
              <w:t>5</w:t>
            </w:r>
          </w:p>
        </w:tc>
      </w:tr>
    </w:tbl>
    <w:p w:rsidR="004809F5" w:rsidRDefault="004809F5" w:rsidP="004809F5">
      <w:pPr>
        <w:widowControl w:val="0"/>
        <w:autoSpaceDE w:val="0"/>
        <w:autoSpaceDN w:val="0"/>
        <w:adjustRightInd w:val="0"/>
      </w:pPr>
      <w:r>
        <w:t xml:space="preserve"> </w:t>
      </w:r>
    </w:p>
    <w:p w:rsidR="004809F5" w:rsidRDefault="004809F5" w:rsidP="004809F5">
      <w:pPr>
        <w:widowControl w:val="0"/>
        <w:autoSpaceDE w:val="0"/>
        <w:autoSpaceDN w:val="0"/>
        <w:adjustRightInd w:val="0"/>
        <w:ind w:left="2880" w:hanging="720"/>
      </w:pPr>
      <w:r>
        <w:t>B)</w:t>
      </w:r>
      <w:r>
        <w:tab/>
        <w:t xml:space="preserve">In no case shall any forty (40) second-per-foot safety fuse less than thirty-six (36) inches long or any thirty (30) second-per-foot safety fuse less than forty-eight (48) inches long be used.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7)</w:t>
      </w:r>
      <w:r>
        <w:tab/>
        <w:t xml:space="preserve">The burning rate of the safety fuse in use at any time shall be measured, posted in conspicuous locations, and brought to the attention of all men concerned with blasting.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8)</w:t>
      </w:r>
      <w:r>
        <w:tab/>
        <w:t xml:space="preserve">Fuse shall not be used if it has been kinked, bent sharply, or handled roughly in such a manner that the train of deflagration may be interrupted.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proofErr w:type="spellStart"/>
      <w:r>
        <w:t>i</w:t>
      </w:r>
      <w:proofErr w:type="spellEnd"/>
      <w:r>
        <w:t>)</w:t>
      </w:r>
      <w:r>
        <w:tab/>
        <w:t xml:space="preserve">Blasting area.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Substantial, non-conductive closed containers sha</w:t>
      </w:r>
      <w:r w:rsidR="007906D9">
        <w:t xml:space="preserve">ll be used </w:t>
      </w:r>
      <w:r>
        <w:t xml:space="preserve">to carry explosives other than blasting agents.  All detonators shall be kept in suitable, enclosed (non-conductive) containers prior to the use of such detonators in the work area.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Explosives shall be kept separated from detonators until charging is started.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Smoking articles, matches, lighters and open flame shall not be used within fifty (50) feet of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During the period when final preparations are being made for firing a blast, only the work activities associated with that operation shall be permitted in the blasting area.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Unused explosives, detonators, and related materials shall be moved to a safe location as soon as charging operations are completed.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Boreholes shall be stemmed immediately after loading.  Whenever possible, shots shall be fired immediately after the borehole is stemmed. If shots are not fired immediately thereafter, the boreholes shall be guarded or otherwise protected as is provided in Section 220.130(i)(7) of this Part. </w:t>
      </w:r>
    </w:p>
    <w:p w:rsidR="00797297" w:rsidRDefault="00797297" w:rsidP="004809F5">
      <w:pPr>
        <w:widowControl w:val="0"/>
        <w:autoSpaceDE w:val="0"/>
        <w:autoSpaceDN w:val="0"/>
        <w:adjustRightInd w:val="0"/>
        <w:ind w:left="2880" w:hanging="720"/>
      </w:pPr>
    </w:p>
    <w:p w:rsidR="004809F5" w:rsidRDefault="004809F5" w:rsidP="004809F5">
      <w:pPr>
        <w:widowControl w:val="0"/>
        <w:autoSpaceDE w:val="0"/>
        <w:autoSpaceDN w:val="0"/>
        <w:adjustRightInd w:val="0"/>
        <w:ind w:left="2880" w:hanging="720"/>
      </w:pPr>
      <w:r>
        <w:t>A)</w:t>
      </w:r>
      <w:r>
        <w:tab/>
        <w:t xml:space="preserve">All boreholes drilled for the purpose of blasting overburden shall be identified by number and location and logged daily in a report book kept by a certified person exclusively for these purposes.  Daily notations shall be made by the certified person responsible for the report book when shots are fired.  In the event a loaded hole is not fired within twenty-one (21) days after its borehole is stemmed, such holes shall be platted on a map retained by the certified person responsible for the daily report book, which map shall be retained until all such shots are fired. </w:t>
      </w:r>
    </w:p>
    <w:p w:rsidR="00797297" w:rsidRDefault="00797297" w:rsidP="004809F5">
      <w:pPr>
        <w:widowControl w:val="0"/>
        <w:autoSpaceDE w:val="0"/>
        <w:autoSpaceDN w:val="0"/>
        <w:adjustRightInd w:val="0"/>
        <w:ind w:left="2880" w:hanging="720"/>
      </w:pPr>
    </w:p>
    <w:p w:rsidR="004809F5" w:rsidRDefault="004809F5" w:rsidP="004809F5">
      <w:pPr>
        <w:widowControl w:val="0"/>
        <w:autoSpaceDE w:val="0"/>
        <w:autoSpaceDN w:val="0"/>
        <w:adjustRightInd w:val="0"/>
        <w:ind w:left="2880" w:hanging="720"/>
      </w:pPr>
      <w:r>
        <w:t>B)</w:t>
      </w:r>
      <w:r>
        <w:tab/>
        <w:t xml:space="preserve">Where there exists a loaded hole or holes which have not been fired, prior to the beginning of each working shift and examination of such holes shall be conducted and a report made, and such report shall be countersigned by the certified person responsible for the overall supervision of the mine.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7)</w:t>
      </w:r>
      <w:r>
        <w:tab/>
        <w:t xml:space="preserve">In blast areas where final preparations are being made and holes are awaiting firing, the areas shall be guarded or barricaded and posted, or flagged against unauthorized entry.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8)</w:t>
      </w:r>
      <w:r>
        <w:tab/>
        <w:t xml:space="preserve">Ample warning shall be given before blasts are fired.  All persons shall be removed from the blast area.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9)</w:t>
      </w:r>
      <w:r>
        <w:tab/>
        <w:t xml:space="preserve">Overburden blasting shall be conducted during daylight hours unless special permission is obtained from an authorized representative of the Department.  Extra precautions shall be taken when shooting after dark.  This requirement does not apply to shaft and slope sinking operations, or coal shooting.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10)</w:t>
      </w:r>
      <w:r>
        <w:tab/>
        <w:t xml:space="preserve">The blasting area shall not be reentered after firing of the charges until the concentrations of smoke, dust, or fumes have reached safe limits.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11)</w:t>
      </w:r>
      <w:r>
        <w:tab/>
        <w:t xml:space="preserve">For the protection of underground workers, special precautions shall be taken when blasting in close proximity to underground operations, and no blasting shall be done that would be hazardous to persons working underground.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j)</w:t>
      </w:r>
      <w:r>
        <w:tab/>
        <w:t xml:space="preserve">Misfires and damaged explosives.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Damaged or deteriorated explosives shall be destroyed in a safe manner under the supervision or instructions of the explosives manufacturer.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Misfires shall be reported to the supervisor in direct control of the blasting operations (See Section 220.130(d)(1) above), and shall be disposed of safely before any other work is performed in the blasting area.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No person shall return to a misfired hole for at least fifteen (15) minutes.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If explosives are suspected of burning in a hole, all persons in the blast area shall move to a safe location and no one shall return to the hole for at least one (1) hour until the danger has passed.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5)</w:t>
      </w:r>
      <w:r>
        <w:tab/>
        <w:t xml:space="preserve">Blasted areas shall be examined for </w:t>
      </w:r>
      <w:proofErr w:type="spellStart"/>
      <w:r>
        <w:t>undetonated</w:t>
      </w:r>
      <w:proofErr w:type="spellEnd"/>
      <w:r>
        <w:t xml:space="preserve"> explosives after each blast and </w:t>
      </w:r>
      <w:proofErr w:type="spellStart"/>
      <w:r>
        <w:t>undetonated</w:t>
      </w:r>
      <w:proofErr w:type="spellEnd"/>
      <w:r>
        <w:t xml:space="preserve"> explosives found shall be destroyed and disposed of in accordance with this Part.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6)</w:t>
      </w:r>
      <w:r>
        <w:tab/>
        <w:t xml:space="preserve">Holes shall not be drilled where there is danger of intersecting a charged or misfired hole.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7)</w:t>
      </w:r>
      <w:r>
        <w:tab/>
        <w:t>Electric blasting shall be prohibited in the vicinity of operating radio frequency (</w:t>
      </w:r>
      <w:proofErr w:type="spellStart"/>
      <w:r>
        <w:t>rf</w:t>
      </w:r>
      <w:proofErr w:type="spellEnd"/>
      <w:r>
        <w:t xml:space="preserve">) transmitters except within clearances as published in the Institute of Makers of Explosives, Publication No. 20, March 1971, "Safety Guide for the Prevention of Radio Frequency Radiation Hazards in the Use of Electric Blasting Caps".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8)</w:t>
      </w:r>
      <w:r>
        <w:tab/>
        <w:t xml:space="preserve">Radio transmission shall be prohibited within fifty (50) feet of charged holes when blasting electrically and appropriate warning signs shall be posted.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9)</w:t>
      </w:r>
      <w:r>
        <w:tab/>
        <w:t xml:space="preserve">Blast holes in "hot-hole" areas and holes that have been sprung shall not be charged before tests have been made to insure that the heat has been dissipated to a safe level.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10)</w:t>
      </w:r>
      <w:r>
        <w:tab/>
        <w:t xml:space="preserve">Fuse and igniters shall be stored in a cool, dry place away from oils or grease.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11)</w:t>
      </w:r>
      <w:r>
        <w:tab/>
        <w:t xml:space="preserve">Fuse shall be ignited with hot-wire lighters, lead </w:t>
      </w:r>
      <w:proofErr w:type="spellStart"/>
      <w:r>
        <w:t>spitters</w:t>
      </w:r>
      <w:proofErr w:type="spellEnd"/>
      <w:r>
        <w:t xml:space="preserve">, igniter cord, or other such devices designed for this purpose. </w:t>
      </w:r>
    </w:p>
    <w:p w:rsidR="00797297" w:rsidRDefault="00797297" w:rsidP="007906D9">
      <w:pPr>
        <w:widowControl w:val="0"/>
        <w:autoSpaceDE w:val="0"/>
        <w:autoSpaceDN w:val="0"/>
        <w:adjustRightInd w:val="0"/>
        <w:ind w:left="2160" w:hanging="849"/>
      </w:pPr>
    </w:p>
    <w:p w:rsidR="004809F5" w:rsidRDefault="004809F5" w:rsidP="007906D9">
      <w:pPr>
        <w:widowControl w:val="0"/>
        <w:autoSpaceDE w:val="0"/>
        <w:autoSpaceDN w:val="0"/>
        <w:adjustRightInd w:val="0"/>
        <w:ind w:left="2160" w:hanging="849"/>
      </w:pPr>
      <w:r>
        <w:t>12)</w:t>
      </w:r>
      <w:r>
        <w:tab/>
        <w:t xml:space="preserve">Fuse shall not be ignited before the primer and the entire charge is securely in place. </w:t>
      </w:r>
    </w:p>
    <w:p w:rsidR="00797297" w:rsidRDefault="00797297" w:rsidP="004809F5">
      <w:pPr>
        <w:widowControl w:val="0"/>
        <w:autoSpaceDE w:val="0"/>
        <w:autoSpaceDN w:val="0"/>
        <w:adjustRightInd w:val="0"/>
        <w:ind w:left="1440" w:hanging="720"/>
      </w:pPr>
    </w:p>
    <w:p w:rsidR="004809F5" w:rsidRDefault="004809F5" w:rsidP="004809F5">
      <w:pPr>
        <w:widowControl w:val="0"/>
        <w:autoSpaceDE w:val="0"/>
        <w:autoSpaceDN w:val="0"/>
        <w:adjustRightInd w:val="0"/>
        <w:ind w:left="1440" w:hanging="720"/>
      </w:pPr>
      <w:r>
        <w:t>k)</w:t>
      </w:r>
      <w:r>
        <w:tab/>
        <w:t xml:space="preserve">Blasting agents; special provisions.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1)</w:t>
      </w:r>
      <w:r>
        <w:tab/>
        <w:t xml:space="preserve">Ammonium nitrate and the components used for the sensitizing thereof shall be stored and used in accordance with the recommendations contained in the Bureau of Mine Information Circular 8179, "Safety Recommendation for Sensitized Ammonium Nitrate Blasting Agents-1963".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2)</w:t>
      </w:r>
      <w:r>
        <w:tab/>
        <w:t xml:space="preserve">Where pneumatic loading is employed, before any type of blasting operation using blasting agents is put into effect, an evaluation of the potential hazard of static electricity shall be taken to eliminate the hazard of static electricity before blasting agent use is commenced.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3)</w:t>
      </w:r>
      <w:r>
        <w:tab/>
        <w:t xml:space="preserve">Pneumatic loading equipment shall not be grounded to waterlines, airlines, rails, or the permanent electrical grounding systems. </w:t>
      </w:r>
    </w:p>
    <w:p w:rsidR="00797297" w:rsidRDefault="00797297" w:rsidP="004809F5">
      <w:pPr>
        <w:widowControl w:val="0"/>
        <w:autoSpaceDE w:val="0"/>
        <w:autoSpaceDN w:val="0"/>
        <w:adjustRightInd w:val="0"/>
        <w:ind w:left="2160" w:hanging="720"/>
      </w:pPr>
    </w:p>
    <w:p w:rsidR="004809F5" w:rsidRDefault="004809F5" w:rsidP="004809F5">
      <w:pPr>
        <w:widowControl w:val="0"/>
        <w:autoSpaceDE w:val="0"/>
        <w:autoSpaceDN w:val="0"/>
        <w:adjustRightInd w:val="0"/>
        <w:ind w:left="2160" w:hanging="720"/>
      </w:pPr>
      <w:r>
        <w:t>4)</w:t>
      </w:r>
      <w:r>
        <w:tab/>
        <w:t xml:space="preserve">Hoses used in connection with pneumatic loading machines shall be of the </w:t>
      </w:r>
      <w:proofErr w:type="spellStart"/>
      <w:r>
        <w:t>semiconductive</w:t>
      </w:r>
      <w:proofErr w:type="spellEnd"/>
      <w:r>
        <w:t xml:space="preserve"> type, having a total resistance low enough to permit the dissipation of static electricity and high enough to limit the flow of stray electric currents to a safe level.  </w:t>
      </w:r>
      <w:proofErr w:type="spellStart"/>
      <w:r>
        <w:t>Wirecountered</w:t>
      </w:r>
      <w:proofErr w:type="spellEnd"/>
      <w:r>
        <w:t xml:space="preserve"> hose shall not be used. </w:t>
      </w:r>
    </w:p>
    <w:sectPr w:rsidR="004809F5" w:rsidSect="004809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9F5"/>
    <w:rsid w:val="001E6CF5"/>
    <w:rsid w:val="00240DE6"/>
    <w:rsid w:val="004809F5"/>
    <w:rsid w:val="005C3366"/>
    <w:rsid w:val="007906D9"/>
    <w:rsid w:val="00797297"/>
    <w:rsid w:val="0094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