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B5" w:rsidRDefault="009956B5" w:rsidP="009956B5">
      <w:pPr>
        <w:tabs>
          <w:tab w:val="left" w:pos="-1440"/>
        </w:tabs>
        <w:spacing w:line="246" w:lineRule="auto"/>
        <w:rPr>
          <w:b/>
          <w:bCs/>
        </w:rPr>
      </w:pPr>
    </w:p>
    <w:p w:rsidR="009956B5" w:rsidRPr="00936726" w:rsidRDefault="009956B5" w:rsidP="009956B5">
      <w:pPr>
        <w:tabs>
          <w:tab w:val="left" w:pos="-1440"/>
        </w:tabs>
        <w:spacing w:line="246" w:lineRule="auto"/>
        <w:rPr>
          <w:b/>
          <w:bCs/>
        </w:rPr>
      </w:pPr>
      <w:r w:rsidRPr="00936726">
        <w:rPr>
          <w:b/>
          <w:bCs/>
        </w:rPr>
        <w:t>Section 200.920  Enforcement Actions</w:t>
      </w:r>
    </w:p>
    <w:p w:rsidR="009956B5" w:rsidRPr="001138ED" w:rsidRDefault="009956B5" w:rsidP="00AA133C">
      <w:pPr>
        <w:tabs>
          <w:tab w:val="left" w:pos="-1440"/>
        </w:tabs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rPr>
          <w:bCs/>
        </w:rPr>
        <w:t>a)</w:t>
      </w:r>
      <w:r>
        <w:rPr>
          <w:bCs/>
        </w:rPr>
        <w:tab/>
      </w:r>
      <w:r w:rsidRPr="001138ED">
        <w:rPr>
          <w:bCs/>
        </w:rPr>
        <w:t>Pursuant to Sections 2011, 3002, 3004 and 5001 of the Act, the Department is authorized to take the following enforcement actions:</w:t>
      </w:r>
    </w:p>
    <w:p w:rsidR="009956B5" w:rsidRPr="001138ED" w:rsidRDefault="009956B5" w:rsidP="009956B5">
      <w:pPr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1138ED">
        <w:rPr>
          <w:bCs/>
        </w:rPr>
        <w:t>1)</w:t>
      </w:r>
      <w:r>
        <w:rPr>
          <w:bCs/>
        </w:rPr>
        <w:tab/>
      </w:r>
      <w:r w:rsidRPr="001138ED">
        <w:rPr>
          <w:bCs/>
        </w:rPr>
        <w:t xml:space="preserve">refuse to issue or renew </w:t>
      </w:r>
      <w:r w:rsidRPr="001138ED">
        <w:t>an explosives license, a temporary explosives license</w:t>
      </w:r>
      <w:r w:rsidR="005137D3">
        <w:t>,</w:t>
      </w:r>
      <w:r w:rsidRPr="001138ED">
        <w:t xml:space="preserve"> or a </w:t>
      </w:r>
      <w:r w:rsidRPr="001138ED">
        <w:rPr>
          <w:bCs/>
        </w:rPr>
        <w:t>storage certificate, as set forth in Subpart</w:t>
      </w:r>
      <w:r w:rsidR="009F1107">
        <w:rPr>
          <w:bCs/>
        </w:rPr>
        <w:t>s</w:t>
      </w:r>
      <w:r w:rsidRPr="001138ED">
        <w:rPr>
          <w:bCs/>
        </w:rPr>
        <w:t xml:space="preserve"> B and C;</w:t>
      </w:r>
    </w:p>
    <w:p w:rsidR="009956B5" w:rsidRPr="001138ED" w:rsidRDefault="009956B5" w:rsidP="009956B5">
      <w:pPr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1138ED">
        <w:rPr>
          <w:bCs/>
        </w:rPr>
        <w:t>2)</w:t>
      </w:r>
      <w:r>
        <w:rPr>
          <w:bCs/>
        </w:rPr>
        <w:tab/>
      </w:r>
      <w:r w:rsidRPr="001138ED">
        <w:rPr>
          <w:bCs/>
        </w:rPr>
        <w:t xml:space="preserve">suspend or revoke </w:t>
      </w:r>
      <w:r w:rsidRPr="001138ED">
        <w:t>an explosives license, a temporary explosives license</w:t>
      </w:r>
      <w:r w:rsidR="005137D3">
        <w:t>,</w:t>
      </w:r>
      <w:r w:rsidRPr="001138ED">
        <w:t xml:space="preserve"> or a</w:t>
      </w:r>
      <w:r w:rsidRPr="001138ED">
        <w:rPr>
          <w:color w:val="000000"/>
        </w:rPr>
        <w:t xml:space="preserve"> </w:t>
      </w:r>
      <w:r w:rsidRPr="001138ED">
        <w:rPr>
          <w:bCs/>
        </w:rPr>
        <w:t>storage certificate with notice of a hearing;</w:t>
      </w:r>
    </w:p>
    <w:p w:rsidR="009956B5" w:rsidRPr="001138ED" w:rsidRDefault="009956B5" w:rsidP="009956B5">
      <w:pPr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1138ED">
        <w:rPr>
          <w:bCs/>
        </w:rPr>
        <w:t>3)</w:t>
      </w:r>
      <w:r>
        <w:rPr>
          <w:bCs/>
        </w:rPr>
        <w:tab/>
      </w:r>
      <w:r w:rsidRPr="001138ED">
        <w:rPr>
          <w:bCs/>
        </w:rPr>
        <w:t xml:space="preserve">summarily suspend or revoke </w:t>
      </w:r>
      <w:r w:rsidRPr="001138ED">
        <w:t>an explosives license, a temporary explosives license</w:t>
      </w:r>
      <w:r w:rsidR="005137D3">
        <w:t>,</w:t>
      </w:r>
      <w:r w:rsidRPr="001138ED">
        <w:t xml:space="preserve"> or a</w:t>
      </w:r>
      <w:r w:rsidRPr="001138ED">
        <w:rPr>
          <w:color w:val="000000"/>
        </w:rPr>
        <w:t xml:space="preserve"> </w:t>
      </w:r>
      <w:r w:rsidRPr="001138ED">
        <w:rPr>
          <w:bCs/>
        </w:rPr>
        <w:t xml:space="preserve">storage certificate without notice of a hearing </w:t>
      </w:r>
      <w:r w:rsidR="005137D3">
        <w:rPr>
          <w:bCs/>
        </w:rPr>
        <w:t xml:space="preserve">when </w:t>
      </w:r>
      <w:r w:rsidRPr="001138ED">
        <w:rPr>
          <w:bCs/>
        </w:rPr>
        <w:t xml:space="preserve">the Department finds that a condition or practice exists </w:t>
      </w:r>
      <w:r w:rsidR="009F1107">
        <w:rPr>
          <w:bCs/>
        </w:rPr>
        <w:t>that</w:t>
      </w:r>
      <w:r w:rsidRPr="001138ED">
        <w:rPr>
          <w:bCs/>
        </w:rPr>
        <w:t xml:space="preserve"> could reasonably be expected to cause death, serious physical harm</w:t>
      </w:r>
      <w:r w:rsidR="005137D3">
        <w:rPr>
          <w:bCs/>
        </w:rPr>
        <w:t>,</w:t>
      </w:r>
      <w:r w:rsidRPr="001138ED">
        <w:rPr>
          <w:bCs/>
        </w:rPr>
        <w:t xml:space="preserve"> or property damage;</w:t>
      </w:r>
    </w:p>
    <w:p w:rsidR="009956B5" w:rsidRPr="001138ED" w:rsidRDefault="009956B5" w:rsidP="009956B5">
      <w:pPr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</w:rPr>
      </w:pPr>
      <w:r w:rsidRPr="001138ED">
        <w:rPr>
          <w:bCs/>
        </w:rPr>
        <w:t>4)</w:t>
      </w:r>
      <w:r>
        <w:rPr>
          <w:bCs/>
        </w:rPr>
        <w:tab/>
      </w:r>
      <w:r w:rsidRPr="001138ED">
        <w:rPr>
          <w:bCs/>
        </w:rPr>
        <w:t>cancellation of a storage certificate for storage of explosive materials in excess of the amount authorized by the certificate or change in physical conditions surrounding the magazine, as set forth in Subpart I;</w:t>
      </w:r>
    </w:p>
    <w:p w:rsidR="009956B5" w:rsidRPr="001138ED" w:rsidRDefault="009956B5" w:rsidP="009956B5">
      <w:pPr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  <w:strike/>
        </w:rPr>
      </w:pPr>
      <w:r w:rsidRPr="001138ED">
        <w:rPr>
          <w:bCs/>
        </w:rPr>
        <w:t>5)</w:t>
      </w:r>
      <w:r>
        <w:rPr>
          <w:bCs/>
        </w:rPr>
        <w:tab/>
      </w:r>
      <w:r w:rsidRPr="001138ED">
        <w:rPr>
          <w:bCs/>
        </w:rPr>
        <w:t xml:space="preserve">imposition of fines not to exceed $5,000 per occurrence; </w:t>
      </w:r>
    </w:p>
    <w:p w:rsidR="009956B5" w:rsidRPr="001138ED" w:rsidRDefault="009956B5" w:rsidP="009956B5">
      <w:pPr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  <w:color w:val="000000"/>
        </w:rPr>
      </w:pPr>
      <w:r w:rsidRPr="001138ED">
        <w:rPr>
          <w:bCs/>
          <w:color w:val="000000"/>
        </w:rPr>
        <w:t>6)</w:t>
      </w:r>
      <w:r>
        <w:rPr>
          <w:bCs/>
          <w:color w:val="000000"/>
        </w:rPr>
        <w:tab/>
      </w:r>
      <w:r w:rsidRPr="001138ED">
        <w:rPr>
          <w:bCs/>
          <w:color w:val="000000"/>
        </w:rPr>
        <w:t>issuance of a notice of violation;</w:t>
      </w:r>
    </w:p>
    <w:p w:rsidR="009956B5" w:rsidRDefault="009956B5" w:rsidP="00AA133C">
      <w:pPr>
        <w:tabs>
          <w:tab w:val="left" w:pos="-1440"/>
        </w:tabs>
        <w:spacing w:line="246" w:lineRule="auto"/>
        <w:rPr>
          <w:bCs/>
          <w:color w:val="000000"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  <w:color w:val="000000"/>
        </w:rPr>
      </w:pPr>
      <w:r w:rsidRPr="001138ED">
        <w:rPr>
          <w:bCs/>
          <w:color w:val="000000"/>
        </w:rPr>
        <w:t>7)</w:t>
      </w:r>
      <w:r>
        <w:rPr>
          <w:bCs/>
          <w:color w:val="000000"/>
        </w:rPr>
        <w:tab/>
      </w:r>
      <w:r w:rsidRPr="001138ED">
        <w:rPr>
          <w:bCs/>
          <w:color w:val="000000"/>
        </w:rPr>
        <w:t>imposition of temporary or permanent conditions on a license or storage certificate;</w:t>
      </w:r>
    </w:p>
    <w:p w:rsidR="009956B5" w:rsidRPr="001138ED" w:rsidRDefault="009956B5" w:rsidP="00AA133C">
      <w:pPr>
        <w:tabs>
          <w:tab w:val="left" w:pos="-1440"/>
        </w:tabs>
        <w:spacing w:line="246" w:lineRule="auto"/>
        <w:rPr>
          <w:bCs/>
          <w:color w:val="000000"/>
        </w:rPr>
      </w:pPr>
    </w:p>
    <w:p w:rsidR="009956B5" w:rsidRDefault="009956B5" w:rsidP="009956B5">
      <w:pPr>
        <w:tabs>
          <w:tab w:val="left" w:pos="-1440"/>
        </w:tabs>
        <w:spacing w:line="246" w:lineRule="auto"/>
        <w:ind w:left="2160" w:hanging="720"/>
        <w:rPr>
          <w:bCs/>
          <w:color w:val="000000"/>
        </w:rPr>
      </w:pPr>
      <w:r w:rsidRPr="001138ED">
        <w:rPr>
          <w:bCs/>
          <w:color w:val="000000"/>
        </w:rPr>
        <w:t>8)</w:t>
      </w:r>
      <w:r>
        <w:rPr>
          <w:bCs/>
          <w:color w:val="000000"/>
        </w:rPr>
        <w:tab/>
      </w:r>
      <w:r w:rsidRPr="001138ED">
        <w:rPr>
          <w:bCs/>
          <w:color w:val="000000"/>
        </w:rPr>
        <w:t>any other disciplinary action the Department may deem proper</w:t>
      </w:r>
      <w:r w:rsidR="00AA133C">
        <w:rPr>
          <w:bCs/>
          <w:color w:val="000000"/>
        </w:rPr>
        <w:t>; and</w:t>
      </w:r>
    </w:p>
    <w:p w:rsidR="00AA133C" w:rsidRDefault="00AA133C" w:rsidP="001B10CE">
      <w:pPr>
        <w:tabs>
          <w:tab w:val="left" w:pos="-1440"/>
        </w:tabs>
        <w:spacing w:line="246" w:lineRule="auto"/>
        <w:rPr>
          <w:bCs/>
          <w:color w:val="000000"/>
        </w:rPr>
      </w:pPr>
      <w:bookmarkStart w:id="0" w:name="_GoBack"/>
      <w:bookmarkEnd w:id="0"/>
    </w:p>
    <w:p w:rsidR="00AA133C" w:rsidRPr="001138ED" w:rsidRDefault="00AA133C" w:rsidP="009956B5">
      <w:pPr>
        <w:tabs>
          <w:tab w:val="left" w:pos="-1440"/>
        </w:tabs>
        <w:spacing w:line="246" w:lineRule="auto"/>
        <w:ind w:left="2160" w:hanging="720"/>
        <w:rPr>
          <w:bCs/>
          <w:color w:val="000000"/>
        </w:rPr>
      </w:pPr>
      <w:r>
        <w:rPr>
          <w:bCs/>
          <w:color w:val="000000"/>
        </w:rPr>
        <w:t>9)</w:t>
      </w:r>
      <w:r>
        <w:rPr>
          <w:bCs/>
          <w:color w:val="000000"/>
        </w:rPr>
        <w:tab/>
        <w:t>apply for an administrative search warrant.</w:t>
      </w:r>
    </w:p>
    <w:p w:rsidR="009956B5" w:rsidRPr="001138ED" w:rsidRDefault="009956B5" w:rsidP="009956B5">
      <w:pPr>
        <w:spacing w:line="246" w:lineRule="auto"/>
        <w:rPr>
          <w:bCs/>
        </w:rPr>
      </w:pPr>
    </w:p>
    <w:p w:rsidR="009956B5" w:rsidRPr="001138ED" w:rsidRDefault="009956B5" w:rsidP="009956B5">
      <w:pPr>
        <w:tabs>
          <w:tab w:val="left" w:pos="-1440"/>
        </w:tabs>
        <w:spacing w:line="246" w:lineRule="auto"/>
        <w:ind w:left="1440" w:hanging="720"/>
        <w:rPr>
          <w:bCs/>
        </w:rPr>
      </w:pPr>
      <w:r w:rsidRPr="001138ED">
        <w:rPr>
          <w:bCs/>
        </w:rPr>
        <w:t>b)</w:t>
      </w:r>
      <w:r>
        <w:rPr>
          <w:bCs/>
        </w:rPr>
        <w:tab/>
      </w:r>
      <w:r w:rsidRPr="001138ED">
        <w:rPr>
          <w:bCs/>
        </w:rPr>
        <w:t>Term of Suspension or Revocation</w:t>
      </w:r>
    </w:p>
    <w:p w:rsidR="009956B5" w:rsidRPr="001138ED" w:rsidRDefault="009956B5" w:rsidP="009956B5">
      <w:pPr>
        <w:tabs>
          <w:tab w:val="left" w:pos="-1440"/>
        </w:tabs>
        <w:spacing w:line="246" w:lineRule="auto"/>
        <w:ind w:left="1440"/>
        <w:rPr>
          <w:bCs/>
        </w:rPr>
      </w:pPr>
      <w:r w:rsidRPr="001138ED">
        <w:rPr>
          <w:bCs/>
        </w:rPr>
        <w:t xml:space="preserve">In those instances </w:t>
      </w:r>
      <w:r w:rsidR="009F1107">
        <w:rPr>
          <w:bCs/>
        </w:rPr>
        <w:t xml:space="preserve">in which </w:t>
      </w:r>
      <w:r w:rsidRPr="001138ED">
        <w:rPr>
          <w:bCs/>
        </w:rPr>
        <w:t xml:space="preserve">the Department suspends or revokes a license or certificate, the term of </w:t>
      </w:r>
      <w:r w:rsidR="009F1107">
        <w:rPr>
          <w:bCs/>
        </w:rPr>
        <w:t>the</w:t>
      </w:r>
      <w:r w:rsidRPr="001138ED">
        <w:rPr>
          <w:bCs/>
        </w:rPr>
        <w:t xml:space="preserve"> suspension or revocation shall not exceed 5 years.</w:t>
      </w:r>
    </w:p>
    <w:p w:rsidR="009956B5" w:rsidRPr="001138ED" w:rsidRDefault="009956B5" w:rsidP="00AA133C">
      <w:pPr>
        <w:tabs>
          <w:tab w:val="left" w:pos="-1440"/>
        </w:tabs>
        <w:spacing w:line="246" w:lineRule="auto"/>
        <w:rPr>
          <w:bCs/>
        </w:rPr>
      </w:pPr>
    </w:p>
    <w:p w:rsidR="009956B5" w:rsidRPr="00D55B37" w:rsidRDefault="00820A7B">
      <w:pPr>
        <w:pStyle w:val="JCARSourceNote"/>
        <w:ind w:left="720"/>
      </w:pPr>
      <w:r>
        <w:t>(Source:  Amended at 45</w:t>
      </w:r>
      <w:r w:rsidR="00AA133C">
        <w:t xml:space="preserve"> Ill. Reg. </w:t>
      </w:r>
      <w:r w:rsidR="00BB0378">
        <w:t>4490</w:t>
      </w:r>
      <w:r w:rsidR="00AA133C">
        <w:t xml:space="preserve">, effective </w:t>
      </w:r>
      <w:r w:rsidR="00BB0378">
        <w:t>March 26, 2021</w:t>
      </w:r>
      <w:r w:rsidR="00AA133C">
        <w:t>)</w:t>
      </w:r>
    </w:p>
    <w:sectPr w:rsidR="009956B5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15" w:rsidRDefault="00A26315">
      <w:r>
        <w:separator/>
      </w:r>
    </w:p>
  </w:endnote>
  <w:endnote w:type="continuationSeparator" w:id="0">
    <w:p w:rsidR="00A26315" w:rsidRDefault="00A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15" w:rsidRDefault="00A26315">
      <w:r>
        <w:separator/>
      </w:r>
    </w:p>
  </w:footnote>
  <w:footnote w:type="continuationSeparator" w:id="0">
    <w:p w:rsidR="00A26315" w:rsidRDefault="00A2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15"/>
    <w:rsid w:val="00001559"/>
    <w:rsid w:val="00001F1D"/>
    <w:rsid w:val="00003CEF"/>
    <w:rsid w:val="000066CA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0C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1CC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7D3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A7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6B5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1107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31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33C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378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53492-8155-43A9-8060-EADC62C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Illinois General Assembly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2021-03-23T20:26:00Z</dcterms:created>
  <dcterms:modified xsi:type="dcterms:W3CDTF">2021-04-07T19:33:00Z</dcterms:modified>
</cp:coreProperties>
</file>